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944C7" w14:textId="0A998E87" w:rsidR="00E82A4F" w:rsidRDefault="00E82A4F" w:rsidP="007E4833">
      <w:pPr>
        <w:pStyle w:val="Heading1"/>
        <w:jc w:val="both"/>
        <w:rPr>
          <w:rFonts w:asciiTheme="minorHAnsi" w:hAnsiTheme="minorHAnsi" w:cstheme="minorHAnsi"/>
        </w:rPr>
      </w:pPr>
      <w:bookmarkStart w:id="0" w:name="_Toc453503801"/>
      <w:r>
        <w:rPr>
          <w:rFonts w:asciiTheme="minorHAnsi" w:hAnsiTheme="minorHAnsi" w:cstheme="minorHAnsi"/>
        </w:rPr>
        <w:t xml:space="preserve">BOUSTEAD SECURITIES, LLC </w:t>
      </w:r>
    </w:p>
    <w:p w14:paraId="074065AD" w14:textId="077F0FAE" w:rsidR="00E82A4F" w:rsidRDefault="00E82A4F" w:rsidP="007E4833">
      <w:pPr>
        <w:pStyle w:val="Heading1"/>
        <w:jc w:val="both"/>
        <w:rPr>
          <w:rFonts w:asciiTheme="minorHAnsi" w:hAnsiTheme="minorHAnsi" w:cstheme="minorHAnsi"/>
        </w:rPr>
      </w:pPr>
      <w:r>
        <w:rPr>
          <w:rFonts w:asciiTheme="minorHAnsi" w:hAnsiTheme="minorHAnsi" w:cstheme="minorHAnsi"/>
        </w:rPr>
        <w:t>REGULATION BI Relationship Guide</w:t>
      </w:r>
    </w:p>
    <w:p w14:paraId="36D8A459" w14:textId="38E915E8" w:rsidR="00E82A4F" w:rsidRPr="00E82A4F" w:rsidRDefault="00E82A4F" w:rsidP="00012B72">
      <w:r>
        <w:t>As of</w:t>
      </w:r>
      <w:r w:rsidR="00012B72">
        <w:t xml:space="preserve"> December</w:t>
      </w:r>
      <w:r>
        <w:t xml:space="preserve"> </w:t>
      </w:r>
      <w:r w:rsidR="00012B72">
        <w:t>10</w:t>
      </w:r>
      <w:r>
        <w:t>, 2020</w:t>
      </w:r>
    </w:p>
    <w:p w14:paraId="1AB0E571" w14:textId="5ED0B1C3" w:rsidR="00FF70D2" w:rsidRPr="007E4833" w:rsidRDefault="00FF70D2" w:rsidP="007E4833">
      <w:pPr>
        <w:pStyle w:val="Heading1"/>
        <w:jc w:val="both"/>
        <w:rPr>
          <w:rFonts w:asciiTheme="minorHAnsi" w:hAnsiTheme="minorHAnsi" w:cstheme="minorHAnsi"/>
        </w:rPr>
      </w:pPr>
      <w:r w:rsidRPr="007E4833">
        <w:rPr>
          <w:rFonts w:asciiTheme="minorHAnsi" w:hAnsiTheme="minorHAnsi" w:cstheme="minorHAnsi"/>
        </w:rPr>
        <w:t>I</w:t>
      </w:r>
      <w:r w:rsidR="004F7A67" w:rsidRPr="007E4833">
        <w:rPr>
          <w:rFonts w:asciiTheme="minorHAnsi" w:hAnsiTheme="minorHAnsi" w:cstheme="minorHAnsi"/>
        </w:rPr>
        <w:t>ntroduction</w:t>
      </w:r>
      <w:bookmarkEnd w:id="0"/>
    </w:p>
    <w:p w14:paraId="0F5ED8C6" w14:textId="77777777" w:rsidR="00FF70D2" w:rsidRPr="007E4833" w:rsidRDefault="00FF70D2" w:rsidP="007E4833">
      <w:pPr>
        <w:tabs>
          <w:tab w:val="right" w:pos="8280"/>
        </w:tabs>
        <w:jc w:val="both"/>
        <w:rPr>
          <w:rFonts w:cstheme="minorHAnsi"/>
          <w:b/>
          <w:bCs/>
          <w:sz w:val="20"/>
          <w:szCs w:val="20"/>
        </w:rPr>
      </w:pPr>
    </w:p>
    <w:p w14:paraId="0E2FD25F" w14:textId="590D62A5" w:rsidR="00BF67A3" w:rsidRPr="007E4833" w:rsidRDefault="009C2F50" w:rsidP="007E4833">
      <w:pPr>
        <w:pStyle w:val="BodyText"/>
        <w:jc w:val="both"/>
        <w:rPr>
          <w:rFonts w:cstheme="minorHAnsi"/>
        </w:rPr>
      </w:pPr>
      <w:r w:rsidRPr="007E4833">
        <w:rPr>
          <w:rFonts w:cstheme="minorHAnsi"/>
        </w:rPr>
        <w:t>We are providing this</w:t>
      </w:r>
      <w:r w:rsidR="00BF67A3" w:rsidRPr="007E4833">
        <w:rPr>
          <w:rFonts w:cstheme="minorHAnsi"/>
        </w:rPr>
        <w:t xml:space="preserve"> information on conflicts of interests, costs and fees,</w:t>
      </w:r>
      <w:r w:rsidR="00BF67A3" w:rsidRPr="007E4833">
        <w:rPr>
          <w:rFonts w:cstheme="minorHAnsi"/>
          <w:spacing w:val="-35"/>
        </w:rPr>
        <w:t xml:space="preserve"> </w:t>
      </w:r>
      <w:r w:rsidR="00BF67A3" w:rsidRPr="007E4833">
        <w:rPr>
          <w:rFonts w:cstheme="minorHAnsi"/>
        </w:rPr>
        <w:t xml:space="preserve">and other investment-related information.  </w:t>
      </w:r>
      <w:r w:rsidR="009C12A3" w:rsidRPr="007E4833">
        <w:rPr>
          <w:rFonts w:cstheme="minorHAnsi"/>
        </w:rPr>
        <w:t>Statements in this document (</w:t>
      </w:r>
      <w:r w:rsidR="00BF67A3" w:rsidRPr="007E4833">
        <w:rPr>
          <w:rFonts w:cstheme="minorHAnsi"/>
        </w:rPr>
        <w:t>provide additional information on topics discussed in our Form CRS, which is summary in nature and limited in substance and size by the U.S Securities and Exchange Commission (SEC). Information in this document is also subject to, and intended to supplement, the separate disclosures, prospectuses, account forms, account agreements and other materials that we provide to you when making recommendations over the course of our relationship with you.</w:t>
      </w:r>
    </w:p>
    <w:p w14:paraId="45EF7387" w14:textId="77777777" w:rsidR="00BF67A3" w:rsidRPr="007E4833" w:rsidRDefault="00BF67A3" w:rsidP="007E4833">
      <w:pPr>
        <w:jc w:val="both"/>
        <w:rPr>
          <w:rFonts w:cstheme="minorHAnsi"/>
          <w:sz w:val="20"/>
          <w:szCs w:val="20"/>
        </w:rPr>
      </w:pPr>
    </w:p>
    <w:p w14:paraId="44AEEAA9" w14:textId="25C43812" w:rsidR="00FF70D2" w:rsidRDefault="009C2F50" w:rsidP="007E4833">
      <w:pPr>
        <w:pStyle w:val="BodyText"/>
        <w:jc w:val="both"/>
        <w:rPr>
          <w:rFonts w:cstheme="minorHAnsi"/>
        </w:rPr>
      </w:pPr>
      <w:r w:rsidRPr="007E4833">
        <w:rPr>
          <w:rFonts w:cstheme="minorHAnsi"/>
        </w:rPr>
        <w:t>Boustead Securities, LLC (BSL)</w:t>
      </w:r>
      <w:r w:rsidR="00FF70D2" w:rsidRPr="007E4833">
        <w:rPr>
          <w:rFonts w:cstheme="minorHAnsi"/>
        </w:rPr>
        <w:t xml:space="preserve"> is a broker-dealer registered with the </w:t>
      </w:r>
      <w:r w:rsidRPr="007E4833">
        <w:rPr>
          <w:rFonts w:cstheme="minorHAnsi"/>
        </w:rPr>
        <w:t>SEC</w:t>
      </w:r>
      <w:r w:rsidR="00FF70D2" w:rsidRPr="007E4833">
        <w:rPr>
          <w:rFonts w:cstheme="minorHAnsi"/>
        </w:rPr>
        <w:t xml:space="preserve"> and member of the Financial Industry Regulatory Authority (FINRA). As a broker-dealer, </w:t>
      </w:r>
      <w:r w:rsidRPr="007E4833">
        <w:rPr>
          <w:rFonts w:cstheme="minorHAnsi"/>
        </w:rPr>
        <w:t>BSL</w:t>
      </w:r>
      <w:r w:rsidR="00FF70D2" w:rsidRPr="007E4833">
        <w:rPr>
          <w:rFonts w:cstheme="minorHAnsi"/>
        </w:rPr>
        <w:t xml:space="preserve"> transacts business in various types of </w:t>
      </w:r>
      <w:r w:rsidR="008D71F5" w:rsidRPr="007E4833">
        <w:rPr>
          <w:rFonts w:cstheme="minorHAnsi"/>
        </w:rPr>
        <w:t>investment products</w:t>
      </w:r>
      <w:r w:rsidR="00C86C02" w:rsidRPr="007E4833">
        <w:rPr>
          <w:rFonts w:cstheme="minorHAnsi"/>
        </w:rPr>
        <w:t xml:space="preserve"> including certain Mutual Funds with which we have selling agreements (Onshore and Offshore Mutual Funds such as Equity Funds, Fixed Income Funds, and Balance Funds), U.S. Equities (listed companies on all U.S. exchanges, Nasdaq stocks, Bulletin Board stocks, and Pink Sheet stocks), Non-USD Equities, Fixed Income (U.S. Treasury bonds, notes, and bills; U.S. Government Sponsored Enterprise (GSE) securities; and U.S. Corporate Bonds), Options, and Exchange Traded Funds (ETFs).</w:t>
      </w:r>
    </w:p>
    <w:p w14:paraId="73A7E3A0" w14:textId="0AD47035" w:rsidR="00A0110F" w:rsidRDefault="00A0110F" w:rsidP="007E4833">
      <w:pPr>
        <w:pStyle w:val="BodyText"/>
        <w:jc w:val="both"/>
        <w:rPr>
          <w:rFonts w:cstheme="minorHAnsi"/>
        </w:rPr>
      </w:pPr>
    </w:p>
    <w:p w14:paraId="4B6BC36E" w14:textId="31D65940" w:rsidR="00FF70D2" w:rsidRDefault="009C2F50" w:rsidP="007E4833">
      <w:pPr>
        <w:pStyle w:val="BodyText"/>
        <w:jc w:val="both"/>
        <w:rPr>
          <w:rFonts w:cstheme="minorHAnsi"/>
        </w:rPr>
      </w:pPr>
      <w:r w:rsidRPr="007E4833">
        <w:rPr>
          <w:rFonts w:cstheme="minorHAnsi"/>
        </w:rPr>
        <w:t>BSL</w:t>
      </w:r>
      <w:r w:rsidR="00FF70D2" w:rsidRPr="007E4833">
        <w:rPr>
          <w:rFonts w:cstheme="minorHAnsi"/>
        </w:rPr>
        <w:t xml:space="preserve"> maintains a network of individuals, referred to as "financial professionals</w:t>
      </w:r>
      <w:r w:rsidR="004F7A67" w:rsidRPr="007E4833">
        <w:rPr>
          <w:rFonts w:cstheme="minorHAnsi"/>
        </w:rPr>
        <w:t>,</w:t>
      </w:r>
      <w:r w:rsidR="00FF70D2" w:rsidRPr="007E4833">
        <w:rPr>
          <w:rFonts w:cstheme="minorHAnsi"/>
        </w:rPr>
        <w:t>"</w:t>
      </w:r>
      <w:r w:rsidR="004F7A67" w:rsidRPr="007E4833">
        <w:rPr>
          <w:rFonts w:cstheme="minorHAnsi"/>
        </w:rPr>
        <w:t xml:space="preserve"> </w:t>
      </w:r>
      <w:r w:rsidR="00C86C02" w:rsidRPr="007E4833">
        <w:rPr>
          <w:rFonts w:cstheme="minorHAnsi"/>
        </w:rPr>
        <w:t>who offer brokerage services</w:t>
      </w:r>
      <w:r w:rsidR="00FF70D2" w:rsidRPr="007E4833">
        <w:rPr>
          <w:rFonts w:cstheme="minorHAnsi"/>
        </w:rPr>
        <w:t xml:space="preserve">. </w:t>
      </w:r>
      <w:r w:rsidRPr="007E4833">
        <w:rPr>
          <w:rFonts w:cstheme="minorHAnsi"/>
        </w:rPr>
        <w:t>BSL</w:t>
      </w:r>
      <w:r w:rsidR="00FF70D2" w:rsidRPr="007E4833">
        <w:rPr>
          <w:rFonts w:cstheme="minorHAnsi"/>
        </w:rPr>
        <w:t>'s financial professionals are</w:t>
      </w:r>
      <w:r w:rsidR="005C2D4A" w:rsidRPr="007E4833">
        <w:rPr>
          <w:rFonts w:cstheme="minorHAnsi"/>
        </w:rPr>
        <w:t xml:space="preserve"> independent contractor</w:t>
      </w:r>
      <w:r w:rsidR="007C0ABF" w:rsidRPr="007E4833">
        <w:rPr>
          <w:rFonts w:cstheme="minorHAnsi"/>
        </w:rPr>
        <w:t>s</w:t>
      </w:r>
      <w:r w:rsidR="00E266A6" w:rsidRPr="007E4833">
        <w:rPr>
          <w:rFonts w:cstheme="minorHAnsi"/>
        </w:rPr>
        <w:t xml:space="preserve">. </w:t>
      </w:r>
      <w:r w:rsidRPr="007E4833">
        <w:rPr>
          <w:rFonts w:cstheme="minorHAnsi"/>
        </w:rPr>
        <w:t>BSL</w:t>
      </w:r>
      <w:r w:rsidR="00FF70D2" w:rsidRPr="007E4833">
        <w:rPr>
          <w:rFonts w:cstheme="minorHAnsi"/>
        </w:rPr>
        <w:t xml:space="preserve"> financial professionals are </w:t>
      </w:r>
      <w:r w:rsidR="005C2D4A" w:rsidRPr="007E4833">
        <w:rPr>
          <w:rFonts w:cstheme="minorHAnsi"/>
        </w:rPr>
        <w:t>located</w:t>
      </w:r>
      <w:r w:rsidR="00FF70D2" w:rsidRPr="007E4833">
        <w:rPr>
          <w:rFonts w:cstheme="minorHAnsi"/>
        </w:rPr>
        <w:t xml:space="preserve"> throughout the U.S.</w:t>
      </w:r>
      <w:r w:rsidR="005C2D4A" w:rsidRPr="007E4833">
        <w:rPr>
          <w:rFonts w:cstheme="minorHAnsi"/>
        </w:rPr>
        <w:t xml:space="preserve"> and </w:t>
      </w:r>
      <w:r w:rsidR="00F70A02" w:rsidRPr="007E4833">
        <w:rPr>
          <w:rFonts w:cstheme="minorHAnsi"/>
        </w:rPr>
        <w:t>may offer</w:t>
      </w:r>
      <w:r w:rsidR="005C2D4A" w:rsidRPr="007E4833">
        <w:rPr>
          <w:rFonts w:cstheme="minorHAnsi"/>
        </w:rPr>
        <w:t xml:space="preserve"> </w:t>
      </w:r>
      <w:r w:rsidR="00E266A6" w:rsidRPr="007E4833">
        <w:rPr>
          <w:rFonts w:cstheme="minorHAnsi"/>
        </w:rPr>
        <w:t xml:space="preserve">investment </w:t>
      </w:r>
      <w:r w:rsidR="005C2D4A" w:rsidRPr="007E4833">
        <w:rPr>
          <w:rFonts w:cstheme="minorHAnsi"/>
        </w:rPr>
        <w:t>services under their own business name.</w:t>
      </w:r>
    </w:p>
    <w:p w14:paraId="072AAA25" w14:textId="0ACE0245" w:rsidR="00A0110F" w:rsidRDefault="00A0110F" w:rsidP="007E4833">
      <w:pPr>
        <w:pStyle w:val="BodyText"/>
        <w:jc w:val="both"/>
        <w:rPr>
          <w:rFonts w:cstheme="minorHAnsi"/>
        </w:rPr>
      </w:pPr>
    </w:p>
    <w:p w14:paraId="7EB7085C" w14:textId="190C5307" w:rsidR="00E82A4F" w:rsidRDefault="00A0110F" w:rsidP="00E82A4F">
      <w:pPr>
        <w:pStyle w:val="BodyText"/>
        <w:jc w:val="both"/>
        <w:rPr>
          <w:rFonts w:cstheme="minorHAnsi"/>
        </w:rPr>
      </w:pPr>
      <w:r>
        <w:rPr>
          <w:rFonts w:cstheme="minorHAnsi"/>
        </w:rPr>
        <w:t xml:space="preserve">BSL is affiliated with entities including </w:t>
      </w:r>
      <w:r w:rsidR="00E82A4F" w:rsidRPr="00E82A4F">
        <w:rPr>
          <w:rFonts w:cstheme="minorHAnsi"/>
        </w:rPr>
        <w:t>Boustead &amp; Company Limited (BCL), Sutter Securities, Inc. (SSI), Sutter Securities Clearing, LLC (SSC</w:t>
      </w:r>
      <w:r w:rsidR="0056085C">
        <w:rPr>
          <w:rFonts w:cstheme="minorHAnsi"/>
        </w:rPr>
        <w:t xml:space="preserve">), </w:t>
      </w:r>
      <w:proofErr w:type="spellStart"/>
      <w:r w:rsidR="0056085C">
        <w:rPr>
          <w:rFonts w:cstheme="minorHAnsi"/>
        </w:rPr>
        <w:t>FlashFunder</w:t>
      </w:r>
      <w:proofErr w:type="spellEnd"/>
      <w:r w:rsidR="0056085C">
        <w:rPr>
          <w:rFonts w:cstheme="minorHAnsi"/>
        </w:rPr>
        <w:t xml:space="preserve"> Funding Portal LLC (</w:t>
      </w:r>
      <w:proofErr w:type="spellStart"/>
      <w:r w:rsidR="00E82A4F">
        <w:rPr>
          <w:rFonts w:cstheme="minorHAnsi"/>
        </w:rPr>
        <w:t>FlashFunders</w:t>
      </w:r>
      <w:proofErr w:type="spellEnd"/>
      <w:r w:rsidR="0056085C">
        <w:rPr>
          <w:rFonts w:cstheme="minorHAnsi"/>
        </w:rPr>
        <w:t xml:space="preserve"> FP</w:t>
      </w:r>
      <w:r w:rsidR="00E82A4F" w:rsidRPr="00E82A4F">
        <w:rPr>
          <w:rFonts w:cstheme="minorHAnsi"/>
        </w:rPr>
        <w:t xml:space="preserve">), </w:t>
      </w:r>
      <w:r w:rsidR="0056085C">
        <w:rPr>
          <w:rFonts w:cstheme="minorHAnsi"/>
        </w:rPr>
        <w:t>FlashFunders.com (</w:t>
      </w:r>
      <w:proofErr w:type="spellStart"/>
      <w:r w:rsidR="0056085C">
        <w:rPr>
          <w:rFonts w:cstheme="minorHAnsi"/>
        </w:rPr>
        <w:t>FlashFunders</w:t>
      </w:r>
      <w:proofErr w:type="spellEnd"/>
      <w:r w:rsidR="0056085C">
        <w:rPr>
          <w:rFonts w:cstheme="minorHAnsi"/>
        </w:rPr>
        <w:t xml:space="preserve">) </w:t>
      </w:r>
      <w:r w:rsidR="00E82A4F" w:rsidRPr="00E82A4F">
        <w:rPr>
          <w:rFonts w:cstheme="minorHAnsi"/>
        </w:rPr>
        <w:t>and Sutter Securities Group, Inc. (SSG)</w:t>
      </w:r>
      <w:r w:rsidR="00E82A4F">
        <w:rPr>
          <w:rFonts w:cstheme="minorHAnsi"/>
        </w:rPr>
        <w:t>.</w:t>
      </w:r>
    </w:p>
    <w:p w14:paraId="32D5F1C2" w14:textId="77777777" w:rsidR="00E82A4F" w:rsidRPr="00E82A4F" w:rsidRDefault="00E82A4F" w:rsidP="00E82A4F">
      <w:pPr>
        <w:pStyle w:val="BodyText"/>
        <w:jc w:val="both"/>
        <w:rPr>
          <w:rFonts w:cstheme="minorHAnsi"/>
        </w:rPr>
      </w:pPr>
    </w:p>
    <w:p w14:paraId="6F89366A" w14:textId="4C5A65A1" w:rsidR="00A0110F" w:rsidRPr="007E4833" w:rsidRDefault="00E82A4F" w:rsidP="00A0110F">
      <w:pPr>
        <w:pStyle w:val="BodyText"/>
        <w:jc w:val="both"/>
        <w:rPr>
          <w:rFonts w:cstheme="minorHAnsi"/>
        </w:rPr>
      </w:pPr>
      <w:r>
        <w:rPr>
          <w:rFonts w:cstheme="minorHAnsi"/>
        </w:rPr>
        <w:t>Some of the</w:t>
      </w:r>
      <w:r w:rsidR="00A0110F">
        <w:rPr>
          <w:rFonts w:cstheme="minorHAnsi"/>
        </w:rPr>
        <w:t xml:space="preserve"> entities are separately registered, and </w:t>
      </w:r>
      <w:r>
        <w:rPr>
          <w:rFonts w:cstheme="minorHAnsi"/>
        </w:rPr>
        <w:t xml:space="preserve">all </w:t>
      </w:r>
      <w:r w:rsidR="00A0110F">
        <w:rPr>
          <w:rFonts w:cstheme="minorHAnsi"/>
        </w:rPr>
        <w:t>operate independently, however they are affiliated by ownership</w:t>
      </w:r>
      <w:r>
        <w:rPr>
          <w:rFonts w:cstheme="minorHAnsi"/>
        </w:rPr>
        <w:t xml:space="preserve"> and control</w:t>
      </w:r>
      <w:r w:rsidR="00A0110F">
        <w:rPr>
          <w:rFonts w:cstheme="minorHAnsi"/>
        </w:rPr>
        <w:t>.  At times, you may be referred to an affiliate, or an affiliate may refer you to BSL. You will be informed of the role(s) of the affiliate(s) at the time of a recommendation and other documents, such as prospectus or offering materials will also serve to provide you with information.   But if you have any questions regarding the entity(</w:t>
      </w:r>
      <w:proofErr w:type="spellStart"/>
      <w:r w:rsidR="00A0110F">
        <w:rPr>
          <w:rFonts w:cstheme="minorHAnsi"/>
        </w:rPr>
        <w:t>ies</w:t>
      </w:r>
      <w:proofErr w:type="spellEnd"/>
      <w:r w:rsidR="00A0110F">
        <w:rPr>
          <w:rFonts w:cstheme="minorHAnsi"/>
        </w:rPr>
        <w:t>) you are doing business with please contact your investment professional or our compliance team at</w:t>
      </w:r>
      <w:r>
        <w:rPr>
          <w:rFonts w:cstheme="minorHAnsi"/>
        </w:rPr>
        <w:t xml:space="preserve"> </w:t>
      </w:r>
      <w:r w:rsidRPr="00012B72">
        <w:rPr>
          <w:rFonts w:cstheme="minorHAnsi"/>
        </w:rPr>
        <w:t>949-504-4409</w:t>
      </w:r>
      <w:r w:rsidR="00A0110F">
        <w:rPr>
          <w:rFonts w:cstheme="minorHAnsi"/>
        </w:rPr>
        <w:t>.</w:t>
      </w:r>
    </w:p>
    <w:p w14:paraId="003534BF" w14:textId="77777777" w:rsidR="00FF70D2" w:rsidRPr="007E4833" w:rsidRDefault="00FF70D2" w:rsidP="007E4833">
      <w:pPr>
        <w:pStyle w:val="BodyText"/>
        <w:jc w:val="both"/>
        <w:rPr>
          <w:rFonts w:cstheme="minorHAnsi"/>
        </w:rPr>
      </w:pPr>
    </w:p>
    <w:p w14:paraId="476A6546" w14:textId="14E40B0B" w:rsidR="009C12A3" w:rsidRPr="007E4833" w:rsidRDefault="009C12A3" w:rsidP="007E4833">
      <w:pPr>
        <w:pStyle w:val="BodyText"/>
        <w:jc w:val="both"/>
        <w:rPr>
          <w:rFonts w:cstheme="minorHAnsi"/>
        </w:rPr>
      </w:pPr>
      <w:r w:rsidRPr="007E4833">
        <w:rPr>
          <w:rFonts w:cstheme="minorHAnsi"/>
        </w:rPr>
        <w:t xml:space="preserve">Throughout the document, we provide you with information that is designed to assist you in making sound investment decisions, and to help you consider reasonably available investment alternatives offered by </w:t>
      </w:r>
      <w:r w:rsidR="009C2F50" w:rsidRPr="007E4833">
        <w:rPr>
          <w:rFonts w:cstheme="minorHAnsi"/>
        </w:rPr>
        <w:t>BSL</w:t>
      </w:r>
      <w:r w:rsidRPr="007E4833">
        <w:rPr>
          <w:rFonts w:cstheme="minorHAnsi"/>
        </w:rPr>
        <w:t xml:space="preserve">. </w:t>
      </w:r>
    </w:p>
    <w:p w14:paraId="6561FC0B" w14:textId="77777777" w:rsidR="009C12A3" w:rsidRPr="007E4833" w:rsidRDefault="009C12A3" w:rsidP="007E4833">
      <w:pPr>
        <w:pStyle w:val="BodyText"/>
        <w:jc w:val="both"/>
        <w:rPr>
          <w:rFonts w:cstheme="minorHAnsi"/>
        </w:rPr>
      </w:pPr>
    </w:p>
    <w:p w14:paraId="2C3639C4" w14:textId="77777777" w:rsidR="009C12A3" w:rsidRPr="007E4833" w:rsidRDefault="00BF67A3" w:rsidP="007E4833">
      <w:pPr>
        <w:pStyle w:val="BodyText"/>
        <w:jc w:val="both"/>
        <w:rPr>
          <w:rFonts w:cstheme="minorHAnsi"/>
        </w:rPr>
      </w:pPr>
      <w:r w:rsidRPr="007E4833">
        <w:rPr>
          <w:rFonts w:cstheme="minorHAnsi"/>
        </w:rPr>
        <w:t>As</w:t>
      </w:r>
      <w:r w:rsidR="007C0ABF" w:rsidRPr="007E4833">
        <w:rPr>
          <w:rFonts w:cstheme="minorHAnsi"/>
        </w:rPr>
        <w:t xml:space="preserve"> a broker-dealer, </w:t>
      </w:r>
      <w:r w:rsidR="007C0ABF" w:rsidRPr="007E4833">
        <w:rPr>
          <w:rFonts w:cstheme="minorHAnsi"/>
          <w:spacing w:val="-3"/>
        </w:rPr>
        <w:t xml:space="preserve">we </w:t>
      </w:r>
      <w:r w:rsidR="007C0ABF" w:rsidRPr="007E4833">
        <w:rPr>
          <w:rFonts w:cstheme="minorHAnsi"/>
        </w:rPr>
        <w:t xml:space="preserve">have conflicts of interest when we make a recommendation of a securities transaction or investment strategy involving securities, including that we are compensated based on the </w:t>
      </w:r>
      <w:r w:rsidR="007C0ABF" w:rsidRPr="007E4833">
        <w:rPr>
          <w:rFonts w:cstheme="minorHAnsi"/>
        </w:rPr>
        <w:lastRenderedPageBreak/>
        <w:t>sale of securities to you</w:t>
      </w:r>
      <w:r w:rsidRPr="007E4833">
        <w:rPr>
          <w:rFonts w:cstheme="minorHAnsi"/>
        </w:rPr>
        <w:t xml:space="preserve">. </w:t>
      </w:r>
    </w:p>
    <w:p w14:paraId="7EEE226E" w14:textId="77777777" w:rsidR="009C12A3" w:rsidRPr="007E4833" w:rsidRDefault="009C12A3" w:rsidP="007E4833">
      <w:pPr>
        <w:pStyle w:val="BodyText"/>
        <w:jc w:val="both"/>
        <w:rPr>
          <w:rFonts w:cstheme="minorHAnsi"/>
        </w:rPr>
      </w:pPr>
    </w:p>
    <w:p w14:paraId="2A35A72A" w14:textId="3D5EDDB4" w:rsidR="009C12A3" w:rsidRPr="007E4833" w:rsidRDefault="009C12A3" w:rsidP="007E4833">
      <w:pPr>
        <w:pStyle w:val="BodyText"/>
        <w:jc w:val="both"/>
        <w:rPr>
          <w:rFonts w:cstheme="minorHAnsi"/>
        </w:rPr>
      </w:pPr>
      <w:r w:rsidRPr="007E4833">
        <w:rPr>
          <w:rFonts w:cstheme="minorHAnsi"/>
        </w:rPr>
        <w:t xml:space="preserve">We and our financial professionals are compensated directly by customers and indirectly from the investments made by customers. When you purchase an investment, we typically get paid an upfront commission or sales load at the time of the transaction and in some cases a deferred sales charge. If we are paid an upfront commission, it means that we are paid more if you make more transactions and/or the larger the transaction.  When we are paid indirectly from the investments made by customers, we receive ongoing compensation, typically called a "trail" payment, for as long as you hold the investment. In addition, we receive compensation from the sponsors of some of the investment products that we offer. The amount we receive varies depending on the particular type of investment purchased. The compensation described in this disclosure summary represents the maximum gain or profit we receive on an investment, before deduction of our expenses. It is important that you read and consider other information, including prospectuses and transaction confirmations to ensure that you are fully apprised of the costs and fees associated with your investment. </w:t>
      </w:r>
    </w:p>
    <w:p w14:paraId="675AB3FF" w14:textId="77777777" w:rsidR="009C12A3" w:rsidRPr="007E4833" w:rsidRDefault="009C12A3" w:rsidP="007E4833">
      <w:pPr>
        <w:pStyle w:val="BodyText"/>
        <w:jc w:val="both"/>
        <w:rPr>
          <w:rFonts w:cstheme="minorHAnsi"/>
        </w:rPr>
      </w:pPr>
    </w:p>
    <w:p w14:paraId="08ABD6A9" w14:textId="0D76693C" w:rsidR="009C12A3" w:rsidRPr="007E4833" w:rsidRDefault="009C12A3" w:rsidP="007E4833">
      <w:pPr>
        <w:pStyle w:val="BodyText"/>
        <w:jc w:val="both"/>
        <w:rPr>
          <w:rFonts w:cstheme="minorHAnsi"/>
        </w:rPr>
      </w:pPr>
      <w:r w:rsidRPr="007E4833">
        <w:rPr>
          <w:rFonts w:cstheme="minorHAnsi"/>
        </w:rPr>
        <w:t>Not all of the conflicts described in this disclosure summary apply to a particular financial professional, his or her services, or all the products we offer. When Regulation Best Interest applies, our financial professionals may be required to disclose additional information specific to them, such as limitations on the securities or investment</w:t>
      </w:r>
      <w:r w:rsidRPr="007E4833">
        <w:rPr>
          <w:rFonts w:cstheme="minorHAnsi"/>
          <w:spacing w:val="-6"/>
        </w:rPr>
        <w:t xml:space="preserve"> </w:t>
      </w:r>
      <w:r w:rsidRPr="007E4833">
        <w:rPr>
          <w:rFonts w:cstheme="minorHAnsi"/>
        </w:rPr>
        <w:t>strategies</w:t>
      </w:r>
      <w:r w:rsidRPr="007E4833">
        <w:rPr>
          <w:rFonts w:cstheme="minorHAnsi"/>
          <w:spacing w:val="-6"/>
        </w:rPr>
        <w:t xml:space="preserve"> </w:t>
      </w:r>
      <w:r w:rsidRPr="007E4833">
        <w:rPr>
          <w:rFonts w:cstheme="minorHAnsi"/>
        </w:rPr>
        <w:t>involving</w:t>
      </w:r>
      <w:r w:rsidRPr="007E4833">
        <w:rPr>
          <w:rFonts w:cstheme="minorHAnsi"/>
          <w:spacing w:val="-7"/>
        </w:rPr>
        <w:t xml:space="preserve"> </w:t>
      </w:r>
      <w:r w:rsidRPr="007E4833">
        <w:rPr>
          <w:rFonts w:cstheme="minorHAnsi"/>
        </w:rPr>
        <w:t>securities</w:t>
      </w:r>
      <w:r w:rsidRPr="007E4833">
        <w:rPr>
          <w:rFonts w:cstheme="minorHAnsi"/>
          <w:spacing w:val="-6"/>
        </w:rPr>
        <w:t xml:space="preserve"> </w:t>
      </w:r>
      <w:r w:rsidRPr="007E4833">
        <w:rPr>
          <w:rFonts w:cstheme="minorHAnsi"/>
        </w:rPr>
        <w:t>that</w:t>
      </w:r>
      <w:r w:rsidRPr="007E4833">
        <w:rPr>
          <w:rFonts w:cstheme="minorHAnsi"/>
          <w:spacing w:val="-1"/>
        </w:rPr>
        <w:t xml:space="preserve"> </w:t>
      </w:r>
      <w:r w:rsidRPr="007E4833">
        <w:rPr>
          <w:rFonts w:cstheme="minorHAnsi"/>
        </w:rPr>
        <w:t>they</w:t>
      </w:r>
      <w:r w:rsidRPr="007E4833">
        <w:rPr>
          <w:rFonts w:cstheme="minorHAnsi"/>
          <w:spacing w:val="-4"/>
        </w:rPr>
        <w:t xml:space="preserve"> </w:t>
      </w:r>
      <w:r w:rsidRPr="007E4833">
        <w:rPr>
          <w:rFonts w:cstheme="minorHAnsi"/>
        </w:rPr>
        <w:t>may</w:t>
      </w:r>
      <w:r w:rsidRPr="007E4833">
        <w:rPr>
          <w:rFonts w:cstheme="minorHAnsi"/>
          <w:spacing w:val="-7"/>
        </w:rPr>
        <w:t xml:space="preserve"> </w:t>
      </w:r>
      <w:r w:rsidRPr="007E4833">
        <w:rPr>
          <w:rFonts w:cstheme="minorHAnsi"/>
        </w:rPr>
        <w:t>recommend,</w:t>
      </w:r>
      <w:r w:rsidRPr="007E4833">
        <w:rPr>
          <w:rFonts w:cstheme="minorHAnsi"/>
          <w:spacing w:val="-5"/>
        </w:rPr>
        <w:t xml:space="preserve"> </w:t>
      </w:r>
      <w:r w:rsidRPr="007E4833">
        <w:rPr>
          <w:rFonts w:cstheme="minorHAnsi"/>
        </w:rPr>
        <w:t>differences</w:t>
      </w:r>
      <w:r w:rsidRPr="007E4833">
        <w:rPr>
          <w:rFonts w:cstheme="minorHAnsi"/>
          <w:spacing w:val="-6"/>
        </w:rPr>
        <w:t xml:space="preserve"> </w:t>
      </w:r>
      <w:r w:rsidRPr="007E4833">
        <w:rPr>
          <w:rFonts w:cstheme="minorHAnsi"/>
        </w:rPr>
        <w:t>in</w:t>
      </w:r>
      <w:r w:rsidRPr="007E4833">
        <w:rPr>
          <w:rFonts w:cstheme="minorHAnsi"/>
          <w:spacing w:val="-4"/>
        </w:rPr>
        <w:t xml:space="preserve"> </w:t>
      </w:r>
      <w:r w:rsidRPr="007E4833">
        <w:rPr>
          <w:rFonts w:cstheme="minorHAnsi"/>
        </w:rPr>
        <w:t>the investment approach they are recommending to you, and any conflicts of interest that</w:t>
      </w:r>
      <w:r w:rsidRPr="007E4833">
        <w:rPr>
          <w:rFonts w:cstheme="minorHAnsi"/>
          <w:spacing w:val="1"/>
        </w:rPr>
        <w:t xml:space="preserve"> </w:t>
      </w:r>
      <w:r w:rsidRPr="007E4833">
        <w:rPr>
          <w:rFonts w:cstheme="minorHAnsi"/>
        </w:rPr>
        <w:t>may be unique to them. If that is the case, then your financial professional will disclose such additional information to you orally or in writing before or at the time they make the recommendation to which that additional information relates.</w:t>
      </w:r>
    </w:p>
    <w:p w14:paraId="577901E4" w14:textId="77777777" w:rsidR="004E4427" w:rsidRPr="007E4833" w:rsidRDefault="004E4427" w:rsidP="007E4833">
      <w:pPr>
        <w:pStyle w:val="BodyText"/>
        <w:jc w:val="both"/>
        <w:rPr>
          <w:rFonts w:cstheme="minorHAnsi"/>
        </w:rPr>
      </w:pPr>
    </w:p>
    <w:p w14:paraId="1DB83141" w14:textId="25300691" w:rsidR="009C12A3" w:rsidRPr="007E4833" w:rsidRDefault="009C12A3" w:rsidP="007E4833">
      <w:pPr>
        <w:jc w:val="both"/>
        <w:rPr>
          <w:rFonts w:cstheme="minorHAnsi"/>
          <w:sz w:val="22"/>
          <w:szCs w:val="22"/>
        </w:rPr>
      </w:pPr>
      <w:r w:rsidRPr="007E4833">
        <w:rPr>
          <w:rFonts w:cstheme="minorHAnsi"/>
          <w:sz w:val="22"/>
          <w:szCs w:val="22"/>
        </w:rPr>
        <w:t xml:space="preserve"> We also provide important information regarding our compensation</w:t>
      </w:r>
      <w:r w:rsidR="009C2F50" w:rsidRPr="007E4833">
        <w:rPr>
          <w:rFonts w:cstheme="minorHAnsi"/>
          <w:sz w:val="22"/>
          <w:szCs w:val="22"/>
        </w:rPr>
        <w:t xml:space="preserve"> below.</w:t>
      </w:r>
    </w:p>
    <w:p w14:paraId="584A5DD8" w14:textId="77777777" w:rsidR="004E4427" w:rsidRPr="007E4833" w:rsidRDefault="004E4427" w:rsidP="007E4833">
      <w:pPr>
        <w:jc w:val="both"/>
        <w:rPr>
          <w:rFonts w:cstheme="minorHAnsi"/>
          <w:sz w:val="22"/>
          <w:szCs w:val="22"/>
        </w:rPr>
      </w:pPr>
    </w:p>
    <w:p w14:paraId="48537948" w14:textId="62B80A6A" w:rsidR="009C12A3" w:rsidRPr="007E4833" w:rsidRDefault="009C12A3" w:rsidP="007E4833">
      <w:pPr>
        <w:jc w:val="both"/>
        <w:rPr>
          <w:rFonts w:cstheme="minorHAnsi"/>
          <w:sz w:val="22"/>
          <w:szCs w:val="22"/>
        </w:rPr>
      </w:pPr>
      <w:r w:rsidRPr="007E4833">
        <w:rPr>
          <w:rFonts w:cstheme="minorHAnsi"/>
          <w:sz w:val="22"/>
          <w:szCs w:val="22"/>
        </w:rPr>
        <w:t>We supervis</w:t>
      </w:r>
      <w:r w:rsidR="004E4427" w:rsidRPr="007E4833">
        <w:rPr>
          <w:rFonts w:cstheme="minorHAnsi"/>
          <w:sz w:val="22"/>
          <w:szCs w:val="22"/>
        </w:rPr>
        <w:t>e</w:t>
      </w:r>
      <w:r w:rsidRPr="007E4833">
        <w:rPr>
          <w:rFonts w:cstheme="minorHAnsi"/>
          <w:sz w:val="22"/>
          <w:szCs w:val="22"/>
        </w:rPr>
        <w:t xml:space="preserve"> retail investors’ investments, including the frequency and any material limitations, but we do not provide a monitoring service. </w:t>
      </w:r>
    </w:p>
    <w:p w14:paraId="22F328FA" w14:textId="5487E1DC" w:rsidR="00BB5817" w:rsidRPr="007E4833" w:rsidRDefault="009C2F50" w:rsidP="007E4833">
      <w:pPr>
        <w:pStyle w:val="Heading1"/>
        <w:jc w:val="both"/>
        <w:rPr>
          <w:rFonts w:asciiTheme="minorHAnsi" w:hAnsiTheme="minorHAnsi" w:cstheme="minorHAnsi"/>
        </w:rPr>
      </w:pPr>
      <w:bookmarkStart w:id="1" w:name="_Toc453503802"/>
      <w:r w:rsidRPr="007E4833">
        <w:rPr>
          <w:rFonts w:asciiTheme="minorHAnsi" w:hAnsiTheme="minorHAnsi" w:cstheme="minorHAnsi"/>
        </w:rPr>
        <w:t>BSL</w:t>
      </w:r>
      <w:r w:rsidR="005F6FFD" w:rsidRPr="007E4833">
        <w:rPr>
          <w:rFonts w:asciiTheme="minorHAnsi" w:hAnsiTheme="minorHAnsi" w:cstheme="minorHAnsi"/>
        </w:rPr>
        <w:t xml:space="preserve"> </w:t>
      </w:r>
      <w:r w:rsidR="00DA1D99" w:rsidRPr="007E4833">
        <w:rPr>
          <w:rFonts w:asciiTheme="minorHAnsi" w:hAnsiTheme="minorHAnsi" w:cstheme="minorHAnsi"/>
        </w:rPr>
        <w:t xml:space="preserve">and Financial Professional </w:t>
      </w:r>
      <w:r w:rsidR="005F6FFD" w:rsidRPr="007E4833">
        <w:rPr>
          <w:rFonts w:asciiTheme="minorHAnsi" w:hAnsiTheme="minorHAnsi" w:cstheme="minorHAnsi"/>
        </w:rPr>
        <w:t>Compensation</w:t>
      </w:r>
      <w:bookmarkEnd w:id="1"/>
    </w:p>
    <w:p w14:paraId="51BB89CA" w14:textId="77777777" w:rsidR="006F4572" w:rsidRPr="007E4833" w:rsidRDefault="006F4572" w:rsidP="007E4833">
      <w:pPr>
        <w:jc w:val="both"/>
        <w:rPr>
          <w:rFonts w:cstheme="minorHAnsi"/>
          <w:b/>
          <w:bCs/>
          <w:sz w:val="20"/>
          <w:szCs w:val="20"/>
        </w:rPr>
      </w:pPr>
    </w:p>
    <w:p w14:paraId="6577D3B6" w14:textId="0B885CF9" w:rsidR="00BB5817" w:rsidRPr="007E4833" w:rsidRDefault="00BB5817" w:rsidP="007E4833">
      <w:pPr>
        <w:pStyle w:val="Heading2"/>
        <w:jc w:val="both"/>
        <w:rPr>
          <w:rFonts w:asciiTheme="minorHAnsi" w:hAnsiTheme="minorHAnsi" w:cstheme="minorHAnsi"/>
        </w:rPr>
      </w:pPr>
      <w:bookmarkStart w:id="2" w:name="_Toc453503803"/>
      <w:r w:rsidRPr="007E4833">
        <w:rPr>
          <w:rFonts w:asciiTheme="minorHAnsi" w:hAnsiTheme="minorHAnsi" w:cstheme="minorHAnsi"/>
        </w:rPr>
        <w:t>Commissions</w:t>
      </w:r>
      <w:r w:rsidR="009C2F50" w:rsidRPr="007E4833">
        <w:rPr>
          <w:rFonts w:asciiTheme="minorHAnsi" w:hAnsiTheme="minorHAnsi" w:cstheme="minorHAnsi"/>
        </w:rPr>
        <w:t>,</w:t>
      </w:r>
      <w:r w:rsidRPr="007E4833">
        <w:rPr>
          <w:rFonts w:asciiTheme="minorHAnsi" w:hAnsiTheme="minorHAnsi" w:cstheme="minorHAnsi"/>
        </w:rPr>
        <w:t xml:space="preserve"> Sales Charges</w:t>
      </w:r>
      <w:bookmarkEnd w:id="2"/>
      <w:r w:rsidR="009C2F50" w:rsidRPr="007E4833">
        <w:rPr>
          <w:rFonts w:asciiTheme="minorHAnsi" w:hAnsiTheme="minorHAnsi" w:cstheme="minorHAnsi"/>
        </w:rPr>
        <w:t>, Brokerage Account fees and charges</w:t>
      </w:r>
    </w:p>
    <w:p w14:paraId="39F09708" w14:textId="77777777" w:rsidR="006F4572" w:rsidRPr="007E4833" w:rsidRDefault="006F4572" w:rsidP="007E4833">
      <w:pPr>
        <w:jc w:val="both"/>
        <w:rPr>
          <w:rFonts w:cstheme="minorHAnsi"/>
          <w:sz w:val="20"/>
          <w:szCs w:val="20"/>
        </w:rPr>
      </w:pPr>
    </w:p>
    <w:p w14:paraId="463A3A3F" w14:textId="096363DF" w:rsidR="00DA1D99" w:rsidRPr="007E4833" w:rsidRDefault="009C2F50" w:rsidP="007E4833">
      <w:pPr>
        <w:pStyle w:val="BodyText"/>
        <w:jc w:val="both"/>
        <w:rPr>
          <w:rFonts w:cstheme="minorHAnsi"/>
        </w:rPr>
      </w:pPr>
      <w:r w:rsidRPr="007E4833">
        <w:rPr>
          <w:rFonts w:cstheme="minorHAnsi"/>
        </w:rPr>
        <w:t>BSL</w:t>
      </w:r>
      <w:r w:rsidR="00BB5817" w:rsidRPr="007E4833">
        <w:rPr>
          <w:rFonts w:cstheme="minorHAnsi"/>
        </w:rPr>
        <w:t xml:space="preserve"> receives upfront commissions when </w:t>
      </w:r>
      <w:r w:rsidR="005F6FFD" w:rsidRPr="007E4833">
        <w:rPr>
          <w:rFonts w:cstheme="minorHAnsi"/>
        </w:rPr>
        <w:t>we</w:t>
      </w:r>
      <w:r w:rsidR="00BB5817" w:rsidRPr="007E4833">
        <w:rPr>
          <w:rFonts w:cstheme="minorHAnsi"/>
        </w:rPr>
        <w:t xml:space="preserve"> execute transactions that result in </w:t>
      </w:r>
      <w:r w:rsidR="00CB3F54" w:rsidRPr="007E4833">
        <w:rPr>
          <w:rFonts w:cstheme="minorHAnsi"/>
        </w:rPr>
        <w:t>the purchase</w:t>
      </w:r>
      <w:r w:rsidR="00BB5817" w:rsidRPr="007E4833">
        <w:rPr>
          <w:rFonts w:cstheme="minorHAnsi"/>
        </w:rPr>
        <w:t xml:space="preserve"> or </w:t>
      </w:r>
      <w:r w:rsidR="00CB3F54" w:rsidRPr="007E4833">
        <w:rPr>
          <w:rFonts w:cstheme="minorHAnsi"/>
        </w:rPr>
        <w:t>sale of</w:t>
      </w:r>
      <w:r w:rsidR="00BB5817" w:rsidRPr="007E4833">
        <w:rPr>
          <w:rFonts w:cstheme="minorHAnsi"/>
        </w:rPr>
        <w:t xml:space="preserve"> a secu</w:t>
      </w:r>
      <w:r w:rsidR="009A70CA" w:rsidRPr="007E4833">
        <w:rPr>
          <w:rFonts w:cstheme="minorHAnsi"/>
        </w:rPr>
        <w:t>r</w:t>
      </w:r>
      <w:r w:rsidR="00BB5817" w:rsidRPr="007E4833">
        <w:rPr>
          <w:rFonts w:cstheme="minorHAnsi"/>
        </w:rPr>
        <w:t>ity.  A commission</w:t>
      </w:r>
      <w:r w:rsidR="00164740" w:rsidRPr="007E4833">
        <w:rPr>
          <w:rFonts w:cstheme="minorHAnsi"/>
        </w:rPr>
        <w:t>,</w:t>
      </w:r>
      <w:r w:rsidR="00BB5817" w:rsidRPr="007E4833">
        <w:rPr>
          <w:rFonts w:cstheme="minorHAnsi"/>
        </w:rPr>
        <w:t xml:space="preserve"> which also may be called a sales load, sales charge</w:t>
      </w:r>
      <w:r w:rsidR="005F6FFD" w:rsidRPr="007E4833">
        <w:rPr>
          <w:rFonts w:cstheme="minorHAnsi"/>
        </w:rPr>
        <w:t>,</w:t>
      </w:r>
      <w:r w:rsidR="00BB5817" w:rsidRPr="007E4833">
        <w:rPr>
          <w:rFonts w:cstheme="minorHAnsi"/>
        </w:rPr>
        <w:t xml:space="preserve"> or placement fee, is typically paid at the time of the sale</w:t>
      </w:r>
      <w:r w:rsidR="00E266A6" w:rsidRPr="007E4833">
        <w:rPr>
          <w:rFonts w:cstheme="minorHAnsi"/>
        </w:rPr>
        <w:t>,</w:t>
      </w:r>
      <w:r w:rsidR="00BB5817" w:rsidRPr="007E4833">
        <w:rPr>
          <w:rFonts w:cstheme="minorHAnsi"/>
        </w:rPr>
        <w:t xml:space="preserve"> </w:t>
      </w:r>
      <w:r w:rsidR="00E266A6" w:rsidRPr="007E4833">
        <w:rPr>
          <w:rFonts w:cstheme="minorHAnsi"/>
        </w:rPr>
        <w:t>reduces</w:t>
      </w:r>
      <w:r w:rsidR="00BB5817" w:rsidRPr="007E4833">
        <w:rPr>
          <w:rFonts w:cstheme="minorHAnsi"/>
        </w:rPr>
        <w:t xml:space="preserve"> the amount available </w:t>
      </w:r>
      <w:r w:rsidR="003E33BD" w:rsidRPr="007E4833">
        <w:rPr>
          <w:rFonts w:cstheme="minorHAnsi"/>
        </w:rPr>
        <w:t>t</w:t>
      </w:r>
      <w:r w:rsidR="00BB5817" w:rsidRPr="007E4833">
        <w:rPr>
          <w:rFonts w:cstheme="minorHAnsi"/>
        </w:rPr>
        <w:t xml:space="preserve">o invest or </w:t>
      </w:r>
      <w:r w:rsidR="00CB3F54" w:rsidRPr="007E4833">
        <w:rPr>
          <w:rFonts w:cstheme="minorHAnsi"/>
        </w:rPr>
        <w:t>can be charged</w:t>
      </w:r>
      <w:r w:rsidR="00BB5817" w:rsidRPr="007E4833">
        <w:rPr>
          <w:rFonts w:cstheme="minorHAnsi"/>
        </w:rPr>
        <w:t xml:space="preserve"> directly against an investment. </w:t>
      </w:r>
    </w:p>
    <w:p w14:paraId="2A8D1D4D" w14:textId="77777777" w:rsidR="00DA1D99" w:rsidRPr="007E4833" w:rsidRDefault="00DA1D99" w:rsidP="007E4833">
      <w:pPr>
        <w:pStyle w:val="BodyText"/>
        <w:jc w:val="both"/>
        <w:rPr>
          <w:rFonts w:cstheme="minorHAnsi"/>
        </w:rPr>
      </w:pPr>
    </w:p>
    <w:p w14:paraId="17CDCBAA" w14:textId="5833C4E3" w:rsidR="00DA1D99" w:rsidRPr="007E4833" w:rsidRDefault="00DA1D99" w:rsidP="007E4833">
      <w:pPr>
        <w:pStyle w:val="BodyText"/>
        <w:jc w:val="both"/>
        <w:rPr>
          <w:rFonts w:cstheme="minorHAnsi"/>
          <w:u w:val="single"/>
        </w:rPr>
      </w:pPr>
      <w:r w:rsidRPr="007E4833">
        <w:rPr>
          <w:rFonts w:cstheme="minorHAnsi"/>
        </w:rPr>
        <w:t xml:space="preserve">Generally, commissions are calculated based on the principal purchase or sale amount involved and </w:t>
      </w:r>
      <w:r w:rsidR="00A200F6" w:rsidRPr="007E4833">
        <w:rPr>
          <w:rFonts w:cstheme="minorHAnsi"/>
        </w:rPr>
        <w:t xml:space="preserve">the product type. The commission may also be based on the </w:t>
      </w:r>
      <w:r w:rsidRPr="007E4833">
        <w:rPr>
          <w:rFonts w:cstheme="minorHAnsi"/>
        </w:rPr>
        <w:t xml:space="preserve">quantity of securities purchased, and other factors. We pay financial professionals a portion of the commissions that </w:t>
      </w:r>
      <w:r w:rsidRPr="007E4833">
        <w:rPr>
          <w:rFonts w:cstheme="minorHAnsi"/>
          <w:spacing w:val="-3"/>
        </w:rPr>
        <w:t xml:space="preserve">we </w:t>
      </w:r>
      <w:r w:rsidRPr="007E4833">
        <w:rPr>
          <w:rFonts w:cstheme="minorHAnsi"/>
        </w:rPr>
        <w:t xml:space="preserve">receive. Financial professional compensation generally will increase as the volume of trades increases in a brokerage account. </w:t>
      </w:r>
      <w:r w:rsidR="007942B1" w:rsidRPr="007E4833">
        <w:rPr>
          <w:rFonts w:cstheme="minorHAnsi"/>
        </w:rPr>
        <w:t xml:space="preserve"> Please see more information about how we compensate financial professionals below.</w:t>
      </w:r>
    </w:p>
    <w:p w14:paraId="07E63498" w14:textId="77777777" w:rsidR="00DA1D99" w:rsidRPr="007E4833" w:rsidRDefault="00DA1D99" w:rsidP="007E4833">
      <w:pPr>
        <w:pStyle w:val="BodyText"/>
        <w:jc w:val="both"/>
        <w:rPr>
          <w:rFonts w:cstheme="minorHAnsi"/>
        </w:rPr>
      </w:pPr>
    </w:p>
    <w:p w14:paraId="110D1AE2" w14:textId="77777777" w:rsidR="00A200F6" w:rsidRPr="007E4833" w:rsidRDefault="00A200F6" w:rsidP="007E4833">
      <w:pPr>
        <w:pStyle w:val="BodyText"/>
        <w:jc w:val="both"/>
        <w:rPr>
          <w:rFonts w:cstheme="minorHAnsi"/>
        </w:rPr>
      </w:pPr>
      <w:r w:rsidRPr="007E4833">
        <w:rPr>
          <w:rFonts w:cstheme="minorHAnsi"/>
        </w:rPr>
        <w:t>Because the c</w:t>
      </w:r>
      <w:r w:rsidR="00BB5817" w:rsidRPr="007E4833">
        <w:rPr>
          <w:rFonts w:cstheme="minorHAnsi"/>
        </w:rPr>
        <w:t xml:space="preserve">ommissions vary from product to product, </w:t>
      </w:r>
      <w:r w:rsidRPr="007E4833">
        <w:rPr>
          <w:rFonts w:cstheme="minorHAnsi"/>
        </w:rPr>
        <w:t>we have an</w:t>
      </w:r>
      <w:r w:rsidR="00BB5817" w:rsidRPr="007E4833">
        <w:rPr>
          <w:rFonts w:cstheme="minorHAnsi"/>
        </w:rPr>
        <w:t xml:space="preserve"> </w:t>
      </w:r>
      <w:r w:rsidR="00CB3F54" w:rsidRPr="007E4833">
        <w:rPr>
          <w:rFonts w:cstheme="minorHAnsi"/>
        </w:rPr>
        <w:t>incentive to</w:t>
      </w:r>
      <w:r w:rsidR="00BB5817" w:rsidRPr="007E4833">
        <w:rPr>
          <w:rFonts w:cstheme="minorHAnsi"/>
        </w:rPr>
        <w:t xml:space="preserve"> </w:t>
      </w:r>
      <w:r w:rsidR="00CB3F54" w:rsidRPr="007E4833">
        <w:rPr>
          <w:rFonts w:cstheme="minorHAnsi"/>
        </w:rPr>
        <w:t>sell a</w:t>
      </w:r>
      <w:r w:rsidR="00BB5817" w:rsidRPr="007E4833">
        <w:rPr>
          <w:rFonts w:cstheme="minorHAnsi"/>
        </w:rPr>
        <w:t xml:space="preserve"> higher commission </w:t>
      </w:r>
      <w:r w:rsidR="005F6FFD" w:rsidRPr="007E4833">
        <w:rPr>
          <w:rFonts w:cstheme="minorHAnsi"/>
        </w:rPr>
        <w:t>product</w:t>
      </w:r>
      <w:r w:rsidR="00BB5817" w:rsidRPr="007E4833">
        <w:rPr>
          <w:rFonts w:cstheme="minorHAnsi"/>
        </w:rPr>
        <w:t xml:space="preserve"> rather than a lower commission </w:t>
      </w:r>
      <w:r w:rsidR="005F6FFD" w:rsidRPr="007E4833">
        <w:rPr>
          <w:rFonts w:cstheme="minorHAnsi"/>
        </w:rPr>
        <w:t>product</w:t>
      </w:r>
      <w:r w:rsidR="00BB5817" w:rsidRPr="007E4833">
        <w:rPr>
          <w:rFonts w:cstheme="minorHAnsi"/>
        </w:rPr>
        <w:t xml:space="preserve">. </w:t>
      </w:r>
    </w:p>
    <w:p w14:paraId="5B81E5C1" w14:textId="77777777" w:rsidR="00A200F6" w:rsidRPr="007E4833" w:rsidRDefault="00A200F6" w:rsidP="007E4833">
      <w:pPr>
        <w:pStyle w:val="BodyText"/>
        <w:jc w:val="both"/>
        <w:rPr>
          <w:rFonts w:cstheme="minorHAnsi"/>
        </w:rPr>
      </w:pPr>
    </w:p>
    <w:p w14:paraId="4101E59A" w14:textId="3ECD0D3E" w:rsidR="00BB5817" w:rsidRPr="007E4833" w:rsidRDefault="00BB5817" w:rsidP="007E4833">
      <w:pPr>
        <w:pStyle w:val="BodyText"/>
        <w:jc w:val="both"/>
        <w:rPr>
          <w:rFonts w:cstheme="minorHAnsi"/>
        </w:rPr>
      </w:pPr>
      <w:r w:rsidRPr="007E4833">
        <w:rPr>
          <w:rFonts w:cstheme="minorHAnsi"/>
        </w:rPr>
        <w:t>The maximum and typical commissions for common investment products are listed below</w:t>
      </w:r>
      <w:r w:rsidR="00CB3F54" w:rsidRPr="007E4833">
        <w:rPr>
          <w:rFonts w:cstheme="minorHAnsi"/>
        </w:rPr>
        <w:t>.</w:t>
      </w:r>
      <w:r w:rsidRPr="007E4833">
        <w:rPr>
          <w:rFonts w:cstheme="minorHAnsi"/>
        </w:rPr>
        <w:t xml:space="preserve"> For more information about other commissions that apply to a particular transaction, </w:t>
      </w:r>
      <w:r w:rsidR="00E266A6" w:rsidRPr="007E4833">
        <w:rPr>
          <w:rFonts w:cstheme="minorHAnsi"/>
        </w:rPr>
        <w:t>we encourage you to refer to</w:t>
      </w:r>
      <w:r w:rsidRPr="007E4833">
        <w:rPr>
          <w:rFonts w:cstheme="minorHAnsi"/>
        </w:rPr>
        <w:t xml:space="preserve"> the applicable investment's prospectus or </w:t>
      </w:r>
      <w:r w:rsidR="009C12A3" w:rsidRPr="007E4833">
        <w:rPr>
          <w:rFonts w:cstheme="minorHAnsi"/>
        </w:rPr>
        <w:t xml:space="preserve">other </w:t>
      </w:r>
      <w:r w:rsidRPr="007E4833">
        <w:rPr>
          <w:rFonts w:cstheme="minorHAnsi"/>
        </w:rPr>
        <w:t>offering document.</w:t>
      </w:r>
      <w:r w:rsidR="005B7B55" w:rsidRPr="007E4833">
        <w:rPr>
          <w:rFonts w:cstheme="minorHAnsi"/>
        </w:rPr>
        <w:t xml:space="preserve"> </w:t>
      </w:r>
    </w:p>
    <w:p w14:paraId="1E70F926" w14:textId="77777777" w:rsidR="00F64377" w:rsidRPr="007E4833" w:rsidRDefault="00F64377" w:rsidP="007E4833">
      <w:pPr>
        <w:jc w:val="both"/>
        <w:rPr>
          <w:rFonts w:cstheme="minorHAnsi"/>
          <w:b/>
          <w:bCs/>
          <w:sz w:val="20"/>
          <w:szCs w:val="20"/>
        </w:rPr>
      </w:pPr>
    </w:p>
    <w:p w14:paraId="3B063749" w14:textId="6710C058" w:rsidR="009C2F50" w:rsidRDefault="00BB5817" w:rsidP="007E4833">
      <w:pPr>
        <w:pStyle w:val="ListParagraph"/>
        <w:numPr>
          <w:ilvl w:val="0"/>
          <w:numId w:val="5"/>
        </w:numPr>
        <w:jc w:val="both"/>
        <w:rPr>
          <w:rFonts w:cstheme="minorHAnsi"/>
          <w:sz w:val="22"/>
          <w:szCs w:val="22"/>
        </w:rPr>
      </w:pPr>
      <w:r w:rsidRPr="007E4833">
        <w:rPr>
          <w:rFonts w:cstheme="minorHAnsi"/>
          <w:i/>
          <w:iCs/>
          <w:sz w:val="22"/>
          <w:szCs w:val="22"/>
        </w:rPr>
        <w:t xml:space="preserve">Equities and Other Exchange Traded </w:t>
      </w:r>
      <w:r w:rsidR="00CB3F54" w:rsidRPr="007E4833">
        <w:rPr>
          <w:rFonts w:cstheme="minorHAnsi"/>
          <w:i/>
          <w:iCs/>
          <w:sz w:val="22"/>
          <w:szCs w:val="22"/>
        </w:rPr>
        <w:t>Securities.</w:t>
      </w:r>
      <w:r w:rsidRPr="007E4833">
        <w:rPr>
          <w:rFonts w:cstheme="minorHAnsi"/>
          <w:sz w:val="22"/>
          <w:szCs w:val="22"/>
        </w:rPr>
        <w:t xml:space="preserve"> The commission charged by </w:t>
      </w:r>
      <w:r w:rsidR="009C2F50" w:rsidRPr="007E4833">
        <w:rPr>
          <w:rFonts w:cstheme="minorHAnsi"/>
          <w:sz w:val="22"/>
          <w:szCs w:val="22"/>
        </w:rPr>
        <w:t>BSL</w:t>
      </w:r>
      <w:r w:rsidRPr="007E4833">
        <w:rPr>
          <w:rFonts w:cstheme="minorHAnsi"/>
          <w:sz w:val="22"/>
          <w:szCs w:val="22"/>
        </w:rPr>
        <w:t xml:space="preserve"> in an agency capacity on an </w:t>
      </w:r>
      <w:r w:rsidR="00CB3F54" w:rsidRPr="007E4833">
        <w:rPr>
          <w:rFonts w:cstheme="minorHAnsi"/>
          <w:sz w:val="22"/>
          <w:szCs w:val="22"/>
        </w:rPr>
        <w:t>exchange</w:t>
      </w:r>
      <w:r w:rsidR="00CB3F54" w:rsidRPr="007E4833">
        <w:rPr>
          <w:rFonts w:cstheme="minorHAnsi"/>
          <w:sz w:val="22"/>
          <w:szCs w:val="22"/>
        </w:rPr>
        <w:softHyphen/>
        <w:t xml:space="preserve"> traded</w:t>
      </w:r>
      <w:r w:rsidRPr="007E4833">
        <w:rPr>
          <w:rFonts w:cstheme="minorHAnsi"/>
          <w:sz w:val="22"/>
          <w:szCs w:val="22"/>
        </w:rPr>
        <w:t xml:space="preserve"> security transaction, such as a</w:t>
      </w:r>
      <w:r w:rsidR="00E266A6" w:rsidRPr="007E4833">
        <w:rPr>
          <w:rFonts w:cstheme="minorHAnsi"/>
          <w:sz w:val="22"/>
          <w:szCs w:val="22"/>
        </w:rPr>
        <w:t xml:space="preserve"> stock or </w:t>
      </w:r>
      <w:r w:rsidRPr="007E4833">
        <w:rPr>
          <w:rFonts w:cstheme="minorHAnsi"/>
          <w:sz w:val="22"/>
          <w:szCs w:val="22"/>
        </w:rPr>
        <w:t xml:space="preserve">equity, ETF, exchange traded note </w:t>
      </w:r>
      <w:r w:rsidR="00CB3F54" w:rsidRPr="007E4833">
        <w:rPr>
          <w:rFonts w:cstheme="minorHAnsi"/>
          <w:sz w:val="22"/>
          <w:szCs w:val="22"/>
        </w:rPr>
        <w:t>(</w:t>
      </w:r>
      <w:r w:rsidRPr="007E4833">
        <w:rPr>
          <w:rFonts w:cstheme="minorHAnsi"/>
          <w:sz w:val="22"/>
          <w:szCs w:val="22"/>
        </w:rPr>
        <w:t>ETN)</w:t>
      </w:r>
      <w:r w:rsidR="00086379" w:rsidRPr="007E4833">
        <w:rPr>
          <w:rFonts w:cstheme="minorHAnsi"/>
          <w:sz w:val="22"/>
          <w:szCs w:val="22"/>
        </w:rPr>
        <w:t>,</w:t>
      </w:r>
      <w:r w:rsidRPr="007E4833">
        <w:rPr>
          <w:rFonts w:cstheme="minorHAnsi"/>
          <w:sz w:val="22"/>
          <w:szCs w:val="22"/>
        </w:rPr>
        <w:t xml:space="preserve"> or closed-end fund (CEF)</w:t>
      </w:r>
      <w:r w:rsidR="00F64377" w:rsidRPr="007E4833">
        <w:rPr>
          <w:rFonts w:cstheme="minorHAnsi"/>
          <w:sz w:val="22"/>
          <w:szCs w:val="22"/>
        </w:rPr>
        <w:t xml:space="preserve"> </w:t>
      </w:r>
      <w:r w:rsidR="00D23A03" w:rsidRPr="007E4833">
        <w:rPr>
          <w:rFonts w:cstheme="minorHAnsi"/>
          <w:sz w:val="22"/>
          <w:szCs w:val="22"/>
        </w:rPr>
        <w:t xml:space="preserve">can be negotiated and ranges from </w:t>
      </w:r>
      <w:r w:rsidR="009C2F50" w:rsidRPr="007E4833">
        <w:rPr>
          <w:rFonts w:cstheme="minorHAnsi"/>
          <w:sz w:val="22"/>
          <w:szCs w:val="22"/>
        </w:rPr>
        <w:t>2</w:t>
      </w:r>
      <w:r w:rsidR="007B6646" w:rsidRPr="007E4833">
        <w:rPr>
          <w:rFonts w:cstheme="minorHAnsi"/>
          <w:sz w:val="22"/>
          <w:szCs w:val="22"/>
        </w:rPr>
        <w:t xml:space="preserve">% to 5% </w:t>
      </w:r>
      <w:r w:rsidRPr="007E4833">
        <w:rPr>
          <w:rFonts w:cstheme="minorHAnsi"/>
          <w:sz w:val="22"/>
          <w:szCs w:val="22"/>
        </w:rPr>
        <w:t>of the transaction amount</w:t>
      </w:r>
      <w:r w:rsidR="00A179F6" w:rsidRPr="007E4833">
        <w:rPr>
          <w:rFonts w:cstheme="minorHAnsi"/>
          <w:sz w:val="22"/>
          <w:szCs w:val="22"/>
        </w:rPr>
        <w:t xml:space="preserve"> depending on the price and size of the transaction</w:t>
      </w:r>
      <w:r w:rsidRPr="007E4833">
        <w:rPr>
          <w:rFonts w:cstheme="minorHAnsi"/>
          <w:sz w:val="22"/>
          <w:szCs w:val="22"/>
        </w:rPr>
        <w:t xml:space="preserve">. </w:t>
      </w:r>
      <w:r w:rsidR="007B6646" w:rsidRPr="007E4833">
        <w:rPr>
          <w:rFonts w:cstheme="minorHAnsi"/>
          <w:sz w:val="22"/>
          <w:szCs w:val="22"/>
        </w:rPr>
        <w:t>Option transactions include additional charges and commissions, including a minimum charge per contract of $1.00.</w:t>
      </w:r>
    </w:p>
    <w:p w14:paraId="08AFD6B3" w14:textId="2C9CE42D" w:rsidR="00A0110F" w:rsidRPr="007E4833" w:rsidRDefault="008110A3" w:rsidP="007E4833">
      <w:pPr>
        <w:pStyle w:val="ListParagraph"/>
        <w:numPr>
          <w:ilvl w:val="0"/>
          <w:numId w:val="5"/>
        </w:numPr>
        <w:jc w:val="both"/>
        <w:rPr>
          <w:rFonts w:cstheme="minorHAnsi"/>
          <w:sz w:val="22"/>
          <w:szCs w:val="22"/>
        </w:rPr>
      </w:pPr>
      <w:r>
        <w:rPr>
          <w:rFonts w:cstheme="minorHAnsi"/>
          <w:i/>
          <w:iCs/>
          <w:sz w:val="22"/>
          <w:szCs w:val="22"/>
        </w:rPr>
        <w:t>Transactions</w:t>
      </w:r>
      <w:r w:rsidR="00A0110F">
        <w:rPr>
          <w:rFonts w:cstheme="minorHAnsi"/>
          <w:i/>
          <w:iCs/>
          <w:sz w:val="22"/>
          <w:szCs w:val="22"/>
        </w:rPr>
        <w:t xml:space="preserve"> </w:t>
      </w:r>
      <w:proofErr w:type="gramStart"/>
      <w:r w:rsidR="00A0110F">
        <w:rPr>
          <w:rFonts w:cstheme="minorHAnsi"/>
          <w:i/>
          <w:iCs/>
          <w:sz w:val="22"/>
          <w:szCs w:val="22"/>
        </w:rPr>
        <w:t>In</w:t>
      </w:r>
      <w:proofErr w:type="gramEnd"/>
      <w:r w:rsidR="00A0110F">
        <w:rPr>
          <w:rFonts w:cstheme="minorHAnsi"/>
          <w:i/>
          <w:iCs/>
          <w:sz w:val="22"/>
          <w:szCs w:val="22"/>
        </w:rPr>
        <w:t xml:space="preserve"> Alternative Investments, IPO</w:t>
      </w:r>
      <w:r w:rsidR="0056085C">
        <w:rPr>
          <w:rFonts w:cstheme="minorHAnsi"/>
          <w:i/>
          <w:iCs/>
          <w:sz w:val="22"/>
          <w:szCs w:val="22"/>
        </w:rPr>
        <w:t>s</w:t>
      </w:r>
      <w:r w:rsidR="00A0110F">
        <w:rPr>
          <w:rFonts w:cstheme="minorHAnsi"/>
          <w:i/>
          <w:iCs/>
          <w:sz w:val="22"/>
          <w:szCs w:val="22"/>
        </w:rPr>
        <w:t xml:space="preserve"> through </w:t>
      </w:r>
      <w:proofErr w:type="spellStart"/>
      <w:r w:rsidR="00A0110F">
        <w:rPr>
          <w:rFonts w:cstheme="minorHAnsi"/>
          <w:i/>
          <w:iCs/>
          <w:sz w:val="22"/>
          <w:szCs w:val="22"/>
        </w:rPr>
        <w:t>FlashFunders</w:t>
      </w:r>
      <w:proofErr w:type="spellEnd"/>
      <w:r w:rsidR="00A0110F">
        <w:rPr>
          <w:rFonts w:cstheme="minorHAnsi"/>
          <w:i/>
          <w:iCs/>
          <w:sz w:val="22"/>
          <w:szCs w:val="22"/>
        </w:rPr>
        <w:t xml:space="preserve">. Our financial professionals offer transactions in alternative investments and IPOs through our affiliate </w:t>
      </w:r>
      <w:proofErr w:type="spellStart"/>
      <w:r w:rsidR="00A0110F">
        <w:rPr>
          <w:rFonts w:cstheme="minorHAnsi"/>
          <w:i/>
          <w:iCs/>
          <w:sz w:val="22"/>
          <w:szCs w:val="22"/>
        </w:rPr>
        <w:t>FlashFunders</w:t>
      </w:r>
      <w:proofErr w:type="spellEnd"/>
      <w:r w:rsidR="00A0110F">
        <w:rPr>
          <w:rFonts w:cstheme="minorHAnsi"/>
          <w:i/>
          <w:iCs/>
          <w:sz w:val="22"/>
          <w:szCs w:val="22"/>
        </w:rPr>
        <w:t xml:space="preserve">. In most instances, financial professionals earn a higher commission on alternatives and IPOS than for equities and other exchange traded securities.  The range of commissions varies among different offerings but generally will fall between 7 and 10%. Securities offered in this manner are offered by prospectus, and you should consider the disclosures in the prospectus to be your primary source of information about the offering and compensation paid to BSL and to your financial professional.  As noted throughout this document and in our Form CRS, because investments offered through our affiliate </w:t>
      </w:r>
      <w:proofErr w:type="spellStart"/>
      <w:r w:rsidR="00A0110F">
        <w:rPr>
          <w:rFonts w:cstheme="minorHAnsi"/>
          <w:i/>
          <w:iCs/>
          <w:sz w:val="22"/>
          <w:szCs w:val="22"/>
        </w:rPr>
        <w:t>FlashFunders</w:t>
      </w:r>
      <w:proofErr w:type="spellEnd"/>
      <w:r w:rsidR="00A0110F">
        <w:rPr>
          <w:rFonts w:cstheme="minorHAnsi"/>
          <w:i/>
          <w:iCs/>
          <w:sz w:val="22"/>
          <w:szCs w:val="22"/>
        </w:rPr>
        <w:t xml:space="preserve"> pay higher commissions, your financial professional has an incentive to offer these securities. </w:t>
      </w:r>
    </w:p>
    <w:p w14:paraId="305D25F7" w14:textId="707B1F4A" w:rsidR="006F4572" w:rsidRPr="007E4833" w:rsidRDefault="006F4572" w:rsidP="007E4833">
      <w:pPr>
        <w:jc w:val="both"/>
        <w:rPr>
          <w:rFonts w:cstheme="minorHAnsi"/>
          <w:b/>
          <w:bCs/>
          <w:sz w:val="20"/>
          <w:szCs w:val="20"/>
        </w:rPr>
      </w:pPr>
    </w:p>
    <w:p w14:paraId="36508FE2" w14:textId="5B5F198A" w:rsidR="002D5AC7" w:rsidRPr="007E4833" w:rsidRDefault="009C2F50" w:rsidP="007E4833">
      <w:pPr>
        <w:jc w:val="both"/>
        <w:rPr>
          <w:rFonts w:cstheme="minorHAnsi"/>
          <w:sz w:val="22"/>
          <w:szCs w:val="22"/>
        </w:rPr>
      </w:pPr>
      <w:r w:rsidRPr="007E4833">
        <w:rPr>
          <w:rFonts w:cstheme="minorHAnsi"/>
          <w:sz w:val="22"/>
          <w:szCs w:val="22"/>
        </w:rPr>
        <w:t>BSL</w:t>
      </w:r>
      <w:r w:rsidR="002D5AC7" w:rsidRPr="007E4833">
        <w:rPr>
          <w:rFonts w:cstheme="minorHAnsi"/>
          <w:sz w:val="22"/>
          <w:szCs w:val="22"/>
        </w:rPr>
        <w:t xml:space="preserve"> is an introducing broker</w:t>
      </w:r>
      <w:r w:rsidR="003E0B07" w:rsidRPr="007E4833">
        <w:rPr>
          <w:rFonts w:cstheme="minorHAnsi"/>
          <w:sz w:val="22"/>
          <w:szCs w:val="22"/>
        </w:rPr>
        <w:t xml:space="preserve">.  Your brokerage accounts are </w:t>
      </w:r>
      <w:r w:rsidR="002D5AC7" w:rsidRPr="007E4833">
        <w:rPr>
          <w:rFonts w:cstheme="minorHAnsi"/>
          <w:sz w:val="22"/>
          <w:szCs w:val="22"/>
        </w:rPr>
        <w:t>carrie</w:t>
      </w:r>
      <w:r w:rsidR="003E0B07" w:rsidRPr="007E4833">
        <w:rPr>
          <w:rFonts w:cstheme="minorHAnsi"/>
          <w:sz w:val="22"/>
          <w:szCs w:val="22"/>
        </w:rPr>
        <w:t xml:space="preserve">d and cleared </w:t>
      </w:r>
      <w:r w:rsidR="002D5AC7" w:rsidRPr="007E4833">
        <w:rPr>
          <w:rFonts w:cstheme="minorHAnsi"/>
          <w:sz w:val="22"/>
          <w:szCs w:val="22"/>
        </w:rPr>
        <w:t xml:space="preserve">on a fully disclosed basis through </w:t>
      </w:r>
      <w:r w:rsidR="003E0B07" w:rsidRPr="007E4833">
        <w:rPr>
          <w:rFonts w:cstheme="minorHAnsi"/>
          <w:sz w:val="22"/>
          <w:szCs w:val="22"/>
        </w:rPr>
        <w:t>our clearing and custodial firm</w:t>
      </w:r>
      <w:r w:rsidR="005853B6" w:rsidRPr="007E4833">
        <w:rPr>
          <w:rFonts w:cstheme="minorHAnsi"/>
        </w:rPr>
        <w:t xml:space="preserve"> </w:t>
      </w:r>
      <w:r w:rsidR="005853B6" w:rsidRPr="007E4833">
        <w:rPr>
          <w:rFonts w:cstheme="minorHAnsi"/>
          <w:sz w:val="22"/>
          <w:szCs w:val="22"/>
        </w:rPr>
        <w:t>Vision Financial Markets</w:t>
      </w:r>
      <w:r w:rsidR="001372B3">
        <w:rPr>
          <w:rFonts w:cstheme="minorHAnsi"/>
          <w:sz w:val="22"/>
          <w:szCs w:val="22"/>
        </w:rPr>
        <w:t>, LLC.</w:t>
      </w:r>
    </w:p>
    <w:p w14:paraId="3E6C5E82" w14:textId="59308AFA" w:rsidR="002D5AC7" w:rsidRPr="007E4833" w:rsidRDefault="002D5AC7" w:rsidP="007E4833">
      <w:pPr>
        <w:jc w:val="both"/>
        <w:rPr>
          <w:rFonts w:cstheme="minorHAnsi"/>
          <w:sz w:val="22"/>
          <w:szCs w:val="22"/>
        </w:rPr>
      </w:pPr>
      <w:r w:rsidRPr="007E4833">
        <w:rPr>
          <w:rFonts w:cstheme="minorHAnsi"/>
          <w:sz w:val="22"/>
          <w:szCs w:val="22"/>
        </w:rPr>
        <w:t xml:space="preserve"> </w:t>
      </w:r>
    </w:p>
    <w:p w14:paraId="47C40E4C" w14:textId="423CF06B" w:rsidR="00BB5817" w:rsidRPr="007E4833" w:rsidRDefault="00BB5817" w:rsidP="007E4833">
      <w:pPr>
        <w:jc w:val="both"/>
        <w:rPr>
          <w:rFonts w:cstheme="minorHAnsi"/>
          <w:sz w:val="22"/>
          <w:szCs w:val="22"/>
        </w:rPr>
      </w:pPr>
      <w:r w:rsidRPr="007E4833">
        <w:rPr>
          <w:rFonts w:cstheme="minorHAnsi"/>
          <w:sz w:val="22"/>
          <w:szCs w:val="22"/>
        </w:rPr>
        <w:t>If you hold a</w:t>
      </w:r>
      <w:r w:rsidR="005B7B55" w:rsidRPr="007E4833">
        <w:rPr>
          <w:rFonts w:cstheme="minorHAnsi"/>
          <w:sz w:val="22"/>
          <w:szCs w:val="22"/>
        </w:rPr>
        <w:t xml:space="preserve"> brokerage</w:t>
      </w:r>
      <w:r w:rsidRPr="007E4833">
        <w:rPr>
          <w:rFonts w:cstheme="minorHAnsi"/>
          <w:sz w:val="22"/>
          <w:szCs w:val="22"/>
        </w:rPr>
        <w:t xml:space="preserve"> account </w:t>
      </w:r>
      <w:r w:rsidR="00640255" w:rsidRPr="007E4833">
        <w:rPr>
          <w:rFonts w:cstheme="minorHAnsi"/>
          <w:sz w:val="22"/>
          <w:szCs w:val="22"/>
        </w:rPr>
        <w:t>through</w:t>
      </w:r>
      <w:r w:rsidRPr="007E4833">
        <w:rPr>
          <w:rFonts w:cstheme="minorHAnsi"/>
          <w:sz w:val="22"/>
          <w:szCs w:val="22"/>
        </w:rPr>
        <w:t xml:space="preserve"> </w:t>
      </w:r>
      <w:r w:rsidR="009C2F50" w:rsidRPr="007E4833">
        <w:rPr>
          <w:rFonts w:cstheme="minorHAnsi"/>
          <w:sz w:val="22"/>
          <w:szCs w:val="22"/>
        </w:rPr>
        <w:t>BSL</w:t>
      </w:r>
      <w:r w:rsidR="00640255" w:rsidRPr="007E4833">
        <w:rPr>
          <w:rFonts w:cstheme="minorHAnsi"/>
          <w:sz w:val="22"/>
          <w:szCs w:val="22"/>
        </w:rPr>
        <w:t xml:space="preserve"> </w:t>
      </w:r>
      <w:r w:rsidR="00FA118E" w:rsidRPr="007E4833">
        <w:rPr>
          <w:rFonts w:cstheme="minorHAnsi"/>
          <w:sz w:val="22"/>
          <w:szCs w:val="22"/>
        </w:rPr>
        <w:t>you will pay costs for transactions,</w:t>
      </w:r>
      <w:r w:rsidRPr="007E4833">
        <w:rPr>
          <w:rFonts w:cstheme="minorHAnsi"/>
          <w:sz w:val="22"/>
          <w:szCs w:val="22"/>
        </w:rPr>
        <w:t xml:space="preserve"> transfers, </w:t>
      </w:r>
      <w:r w:rsidR="00FA118E" w:rsidRPr="007E4833">
        <w:rPr>
          <w:rFonts w:cstheme="minorHAnsi"/>
          <w:sz w:val="22"/>
          <w:szCs w:val="22"/>
        </w:rPr>
        <w:t xml:space="preserve">certain optional features, </w:t>
      </w:r>
      <w:r w:rsidRPr="007E4833">
        <w:rPr>
          <w:rFonts w:cstheme="minorHAnsi"/>
          <w:sz w:val="22"/>
          <w:szCs w:val="22"/>
        </w:rPr>
        <w:t>retirement account maintenance</w:t>
      </w:r>
      <w:r w:rsidR="0052402B" w:rsidRPr="007E4833">
        <w:rPr>
          <w:rFonts w:cstheme="minorHAnsi"/>
          <w:sz w:val="22"/>
          <w:szCs w:val="22"/>
        </w:rPr>
        <w:t xml:space="preserve"> </w:t>
      </w:r>
      <w:r w:rsidR="00FA118E" w:rsidRPr="007E4833">
        <w:rPr>
          <w:rFonts w:cstheme="minorHAnsi"/>
          <w:sz w:val="22"/>
          <w:szCs w:val="22"/>
        </w:rPr>
        <w:t>and other fees. Our financial professionals do not, but w</w:t>
      </w:r>
      <w:r w:rsidR="003D2A83" w:rsidRPr="007E4833">
        <w:rPr>
          <w:rFonts w:cstheme="minorHAnsi"/>
          <w:sz w:val="22"/>
          <w:szCs w:val="22"/>
        </w:rPr>
        <w:t>e</w:t>
      </w:r>
      <w:r w:rsidR="00FA118E" w:rsidRPr="007E4833">
        <w:rPr>
          <w:rFonts w:cstheme="minorHAnsi"/>
          <w:sz w:val="22"/>
          <w:szCs w:val="22"/>
        </w:rPr>
        <w:t xml:space="preserve"> do </w:t>
      </w:r>
      <w:r w:rsidR="003D2A83" w:rsidRPr="007E4833">
        <w:rPr>
          <w:rFonts w:cstheme="minorHAnsi"/>
          <w:sz w:val="22"/>
          <w:szCs w:val="22"/>
        </w:rPr>
        <w:t xml:space="preserve">receive a portion of many of the fees charged by </w:t>
      </w:r>
      <w:r w:rsidR="00FA118E" w:rsidRPr="007E4833">
        <w:rPr>
          <w:rFonts w:cstheme="minorHAnsi"/>
          <w:sz w:val="22"/>
          <w:szCs w:val="22"/>
        </w:rPr>
        <w:t>our clearing firm as a result of adding a mark-up</w:t>
      </w:r>
      <w:r w:rsidR="003D2A83" w:rsidRPr="007E4833">
        <w:rPr>
          <w:rFonts w:cstheme="minorHAnsi"/>
          <w:sz w:val="22"/>
          <w:szCs w:val="22"/>
        </w:rPr>
        <w:t xml:space="preserve">. </w:t>
      </w:r>
      <w:r w:rsidR="00FA118E" w:rsidRPr="007E4833">
        <w:rPr>
          <w:rFonts w:cstheme="minorHAnsi"/>
          <w:sz w:val="22"/>
          <w:szCs w:val="22"/>
        </w:rPr>
        <w:t xml:space="preserve">Generally, we receive more fees when there are more transactions in an account. </w:t>
      </w:r>
    </w:p>
    <w:p w14:paraId="707A27AF" w14:textId="77777777" w:rsidR="00883DFD" w:rsidRPr="007E4833" w:rsidRDefault="00883DFD" w:rsidP="007E4833">
      <w:pPr>
        <w:jc w:val="both"/>
        <w:rPr>
          <w:rFonts w:cstheme="minorHAnsi"/>
          <w:sz w:val="22"/>
          <w:szCs w:val="22"/>
        </w:rPr>
      </w:pPr>
    </w:p>
    <w:p w14:paraId="5E66A826" w14:textId="08933C75" w:rsidR="00883DFD" w:rsidRPr="007E4833" w:rsidRDefault="00883DFD" w:rsidP="007E4833">
      <w:pPr>
        <w:jc w:val="both"/>
        <w:rPr>
          <w:rFonts w:cstheme="minorHAnsi"/>
          <w:sz w:val="22"/>
          <w:szCs w:val="22"/>
        </w:rPr>
      </w:pPr>
      <w:r w:rsidRPr="007E4833">
        <w:rPr>
          <w:rFonts w:cstheme="minorHAnsi"/>
          <w:sz w:val="22"/>
          <w:szCs w:val="22"/>
        </w:rPr>
        <w:t xml:space="preserve">We charge our financial professionals various fees for, among other things, trade execution, administrative services, industry-insurance, technology, and licensing. These fees impact the financial professional’s ability to be profitable, and provide incentive to offer and recommend certain services or products over others. In certain cases, these fees are reduced based on a financial professional's overall business production or the amount of assets serviced by the financial professional, which gives the financial professional an incentive to recommend that you invest more in your account or engage in more frequent </w:t>
      </w:r>
      <w:r w:rsidRPr="00A0110F">
        <w:rPr>
          <w:rFonts w:cstheme="minorHAnsi"/>
          <w:sz w:val="22"/>
          <w:szCs w:val="22"/>
        </w:rPr>
        <w:t>transactions. Transaction fees charged to your financial professional can also vary depending on the specific security that the financial professional recommends. For example, the transaction fees a financial professional pays to purchase or sell a mutual fund for your account may be different from the transaction fee to purchase or sell an ETF, which creates an incentive for your financial professional to recommend the product that carries the lowest transaction charge.</w:t>
      </w:r>
      <w:r w:rsidRPr="007E4833">
        <w:rPr>
          <w:rFonts w:cstheme="minorHAnsi"/>
          <w:sz w:val="22"/>
          <w:szCs w:val="22"/>
        </w:rPr>
        <w:t xml:space="preserve"> </w:t>
      </w:r>
    </w:p>
    <w:p w14:paraId="231B5BE2" w14:textId="77777777" w:rsidR="006F4572" w:rsidRPr="007E4833" w:rsidRDefault="006F4572" w:rsidP="007E4833">
      <w:pPr>
        <w:jc w:val="both"/>
        <w:rPr>
          <w:rFonts w:cstheme="minorHAnsi"/>
          <w:b/>
          <w:bCs/>
          <w:sz w:val="20"/>
          <w:szCs w:val="20"/>
        </w:rPr>
      </w:pPr>
    </w:p>
    <w:p w14:paraId="695CEBC8" w14:textId="590B81A7" w:rsidR="00DA1D99" w:rsidRPr="007E4833" w:rsidRDefault="00FA118E" w:rsidP="007E4833">
      <w:pPr>
        <w:pStyle w:val="Heading2"/>
        <w:jc w:val="both"/>
        <w:rPr>
          <w:rFonts w:asciiTheme="minorHAnsi" w:hAnsiTheme="minorHAnsi" w:cstheme="minorHAnsi"/>
        </w:rPr>
      </w:pPr>
      <w:bookmarkStart w:id="3" w:name="_Toc453503806"/>
      <w:r w:rsidRPr="007E4833">
        <w:rPr>
          <w:rFonts w:asciiTheme="minorHAnsi" w:hAnsiTheme="minorHAnsi" w:cstheme="minorHAnsi"/>
        </w:rPr>
        <w:t>Compensation to Financial Professionals</w:t>
      </w:r>
      <w:bookmarkEnd w:id="3"/>
    </w:p>
    <w:p w14:paraId="2CCE48CD" w14:textId="77777777" w:rsidR="00DA1D99" w:rsidRPr="007E4833" w:rsidRDefault="00DA1D99" w:rsidP="007E4833">
      <w:pPr>
        <w:jc w:val="both"/>
        <w:rPr>
          <w:rFonts w:cstheme="minorHAnsi"/>
          <w:b/>
          <w:bCs/>
          <w:sz w:val="20"/>
          <w:szCs w:val="20"/>
        </w:rPr>
      </w:pPr>
    </w:p>
    <w:p w14:paraId="4E6EBCF3" w14:textId="77777777" w:rsidR="00115602" w:rsidRPr="007E4833" w:rsidRDefault="00DA1D99" w:rsidP="007E4833">
      <w:pPr>
        <w:pStyle w:val="BodyText"/>
        <w:jc w:val="both"/>
        <w:rPr>
          <w:rFonts w:cstheme="minorHAnsi"/>
        </w:rPr>
      </w:pPr>
      <w:r w:rsidRPr="007E4833">
        <w:rPr>
          <w:rFonts w:cstheme="minorHAnsi"/>
        </w:rPr>
        <w:t xml:space="preserve">We typically pay our financial professionals a percentage of the revenue they generate from sales of products and services. The percentage received can vary (typically between 45% to 100%) depending on a financial professional’s agreement </w:t>
      </w:r>
      <w:r w:rsidR="00115602" w:rsidRPr="007E4833">
        <w:rPr>
          <w:rFonts w:cstheme="minorHAnsi"/>
        </w:rPr>
        <w:t xml:space="preserve">for certain levels of production </w:t>
      </w:r>
      <w:r w:rsidRPr="007E4833">
        <w:rPr>
          <w:rFonts w:cstheme="minorHAnsi"/>
        </w:rPr>
        <w:t>and the investment product or service provided</w:t>
      </w:r>
      <w:r w:rsidR="00115602" w:rsidRPr="007E4833">
        <w:rPr>
          <w:rFonts w:cstheme="minorHAnsi"/>
        </w:rPr>
        <w:t>. Compensation of this type creates</w:t>
      </w:r>
      <w:r w:rsidRPr="007E4833">
        <w:rPr>
          <w:rFonts w:cstheme="minorHAnsi"/>
        </w:rPr>
        <w:t xml:space="preserve"> a financial incentive </w:t>
      </w:r>
      <w:r w:rsidR="00115602" w:rsidRPr="007E4833">
        <w:rPr>
          <w:rFonts w:cstheme="minorHAnsi"/>
        </w:rPr>
        <w:t xml:space="preserve">for the financial professional </w:t>
      </w:r>
      <w:r w:rsidRPr="007E4833">
        <w:rPr>
          <w:rFonts w:cstheme="minorHAnsi"/>
        </w:rPr>
        <w:t xml:space="preserve">to meet </w:t>
      </w:r>
      <w:r w:rsidR="00115602" w:rsidRPr="007E4833">
        <w:rPr>
          <w:rFonts w:cstheme="minorHAnsi"/>
        </w:rPr>
        <w:lastRenderedPageBreak/>
        <w:t xml:space="preserve">the </w:t>
      </w:r>
      <w:r w:rsidRPr="007E4833">
        <w:rPr>
          <w:rFonts w:cstheme="minorHAnsi"/>
        </w:rPr>
        <w:t>production or asset levels</w:t>
      </w:r>
      <w:r w:rsidR="00115602" w:rsidRPr="007E4833">
        <w:rPr>
          <w:rFonts w:cstheme="minorHAnsi"/>
        </w:rPr>
        <w:t>, or to sell products that pay higher commissions</w:t>
      </w:r>
      <w:r w:rsidRPr="007E4833">
        <w:rPr>
          <w:rFonts w:cstheme="minorHAnsi"/>
        </w:rPr>
        <w:t xml:space="preserve">. </w:t>
      </w:r>
    </w:p>
    <w:p w14:paraId="6764CE34" w14:textId="77777777" w:rsidR="00115602" w:rsidRPr="007E4833" w:rsidRDefault="00115602" w:rsidP="007E4833">
      <w:pPr>
        <w:pStyle w:val="BodyText"/>
        <w:jc w:val="both"/>
        <w:rPr>
          <w:rFonts w:cstheme="minorHAnsi"/>
        </w:rPr>
      </w:pPr>
    </w:p>
    <w:p w14:paraId="00CB9E98" w14:textId="39E6EB9F" w:rsidR="00DA1D99" w:rsidRPr="007E4833" w:rsidRDefault="00115602" w:rsidP="007E4833">
      <w:pPr>
        <w:pStyle w:val="BodyText"/>
        <w:jc w:val="both"/>
        <w:rPr>
          <w:rFonts w:cstheme="minorHAnsi"/>
        </w:rPr>
      </w:pPr>
      <w:r w:rsidRPr="007E4833">
        <w:rPr>
          <w:rFonts w:cstheme="minorHAnsi"/>
        </w:rPr>
        <w:t>It is customary for us to</w:t>
      </w:r>
      <w:r w:rsidR="00DA1D99" w:rsidRPr="007E4833">
        <w:rPr>
          <w:rFonts w:cstheme="minorHAnsi"/>
        </w:rPr>
        <w:t xml:space="preserve"> pay a portion of a financial professional’s compensation to the financial professional’s branch manager or another </w:t>
      </w:r>
      <w:r w:rsidRPr="007E4833">
        <w:rPr>
          <w:rFonts w:cstheme="minorHAnsi"/>
        </w:rPr>
        <w:t>licensed person</w:t>
      </w:r>
      <w:r w:rsidR="00DA1D99" w:rsidRPr="007E4833">
        <w:rPr>
          <w:rFonts w:cstheme="minorHAnsi"/>
        </w:rPr>
        <w:t xml:space="preserve"> for supervision and/or administrative or sales support. There is a conflict of interest because the compensation affects the </w:t>
      </w:r>
      <w:r w:rsidRPr="007E4833">
        <w:rPr>
          <w:rFonts w:cstheme="minorHAnsi"/>
        </w:rPr>
        <w:t xml:space="preserve">manager/supervisor’s </w:t>
      </w:r>
      <w:r w:rsidR="00DA1D99" w:rsidRPr="007E4833">
        <w:rPr>
          <w:rFonts w:cstheme="minorHAnsi"/>
        </w:rPr>
        <w:t xml:space="preserve">ability to provide objective supervision of the financial professional. </w:t>
      </w:r>
      <w:r w:rsidRPr="007E4833">
        <w:rPr>
          <w:rFonts w:cstheme="minorHAnsi"/>
        </w:rPr>
        <w:t xml:space="preserve">We address this conflict by implementing a supervisory system that includes checks and balances. </w:t>
      </w:r>
    </w:p>
    <w:p w14:paraId="1E8FD096" w14:textId="77777777" w:rsidR="00DA1D99" w:rsidRPr="007E4833" w:rsidRDefault="00DA1D99" w:rsidP="007E4833">
      <w:pPr>
        <w:jc w:val="both"/>
        <w:rPr>
          <w:rFonts w:cstheme="minorHAnsi"/>
          <w:sz w:val="20"/>
          <w:szCs w:val="20"/>
        </w:rPr>
      </w:pPr>
    </w:p>
    <w:p w14:paraId="0E41DA25" w14:textId="77777777" w:rsidR="00DA1D99" w:rsidRPr="007E4833" w:rsidRDefault="00DA1D99" w:rsidP="007E4833">
      <w:pPr>
        <w:pStyle w:val="Heading2"/>
        <w:jc w:val="both"/>
        <w:rPr>
          <w:rFonts w:asciiTheme="minorHAnsi" w:hAnsiTheme="minorHAnsi" w:cstheme="minorHAnsi"/>
        </w:rPr>
      </w:pPr>
      <w:bookmarkStart w:id="4" w:name="_Toc453503807"/>
      <w:r w:rsidRPr="007E4833">
        <w:rPr>
          <w:rFonts w:asciiTheme="minorHAnsi" w:hAnsiTheme="minorHAnsi" w:cstheme="minorHAnsi"/>
        </w:rPr>
        <w:t>Other Benefits</w:t>
      </w:r>
      <w:bookmarkEnd w:id="4"/>
      <w:r w:rsidRPr="007E4833">
        <w:rPr>
          <w:rFonts w:asciiTheme="minorHAnsi" w:hAnsiTheme="minorHAnsi" w:cstheme="minorHAnsi"/>
        </w:rPr>
        <w:t xml:space="preserve"> </w:t>
      </w:r>
    </w:p>
    <w:p w14:paraId="0F5A7FA5" w14:textId="77777777" w:rsidR="00DA1D99" w:rsidRPr="007E4833" w:rsidRDefault="00DA1D99" w:rsidP="007E4833">
      <w:pPr>
        <w:jc w:val="both"/>
        <w:rPr>
          <w:rFonts w:cstheme="minorHAnsi"/>
          <w:b/>
          <w:bCs/>
          <w:sz w:val="20"/>
          <w:szCs w:val="20"/>
        </w:rPr>
      </w:pPr>
    </w:p>
    <w:p w14:paraId="1DDF8FA2" w14:textId="27DDF770" w:rsidR="00DA1D99" w:rsidRPr="007E4833" w:rsidRDefault="00DA1D99" w:rsidP="007E4833">
      <w:pPr>
        <w:pStyle w:val="BodyText"/>
        <w:jc w:val="both"/>
        <w:rPr>
          <w:rFonts w:cstheme="minorHAnsi"/>
        </w:rPr>
      </w:pPr>
      <w:r w:rsidRPr="007E4833">
        <w:rPr>
          <w:rFonts w:cstheme="minorHAnsi"/>
        </w:rPr>
        <w:t xml:space="preserve">Financial professionals are eligible to receive other benefits based on the revenue generated from sales of products and services.  These benefits present a conflict of interest because a financial professional has an incentive to remain with </w:t>
      </w:r>
      <w:r w:rsidR="009C2F50" w:rsidRPr="007E4833">
        <w:rPr>
          <w:rFonts w:cstheme="minorHAnsi"/>
        </w:rPr>
        <w:t>BSL</w:t>
      </w:r>
      <w:r w:rsidRPr="007E4833">
        <w:rPr>
          <w:rFonts w:cstheme="minorHAnsi"/>
        </w:rPr>
        <w:t xml:space="preserve"> in order to maintain these benefits. These benefits include eligibility for practice management support and enhanced service support levels that confer a variety of benefits, conferences (e.g., for education, networking, training, and personal and professional development), and other non-cash compensation. These benefits also include free or reduced cost marketing materials, reimbursement or credits of fees that financial professionals pay to </w:t>
      </w:r>
      <w:r w:rsidR="009C2F50" w:rsidRPr="007E4833">
        <w:rPr>
          <w:rFonts w:cstheme="minorHAnsi"/>
        </w:rPr>
        <w:t>BSL</w:t>
      </w:r>
      <w:r w:rsidRPr="007E4833">
        <w:rPr>
          <w:rFonts w:cstheme="minorHAnsi"/>
        </w:rPr>
        <w:t xml:space="preserve"> for items such as administrative services or technology, and payments that can be in the form of repayable or forgivable loans (e.g. for retention purposes or to assist a financial professional grow his or her securities practice). If we make a loan to a new or current financial professional, there is also a conflict of interest because </w:t>
      </w:r>
      <w:r w:rsidR="009C2F50" w:rsidRPr="007E4833">
        <w:rPr>
          <w:rFonts w:cstheme="minorHAnsi"/>
        </w:rPr>
        <w:t>BSL</w:t>
      </w:r>
      <w:r w:rsidRPr="007E4833">
        <w:rPr>
          <w:rFonts w:cstheme="minorHAnsi"/>
        </w:rPr>
        <w:t>'s interest in collecting on the loan affects our ability to objectively supervise the financial professional.</w:t>
      </w:r>
    </w:p>
    <w:p w14:paraId="3EA00A36" w14:textId="77777777" w:rsidR="00DA1D99" w:rsidRPr="007E4833" w:rsidRDefault="00DA1D99" w:rsidP="007E4833">
      <w:pPr>
        <w:pStyle w:val="Heading2"/>
        <w:jc w:val="both"/>
        <w:rPr>
          <w:rFonts w:asciiTheme="minorHAnsi" w:hAnsiTheme="minorHAnsi" w:cstheme="minorHAnsi"/>
        </w:rPr>
      </w:pPr>
      <w:bookmarkStart w:id="5" w:name="_Toc453503808"/>
      <w:r w:rsidRPr="007E4833">
        <w:rPr>
          <w:rFonts w:asciiTheme="minorHAnsi" w:hAnsiTheme="minorHAnsi" w:cstheme="minorHAnsi"/>
        </w:rPr>
        <w:t>A Financial Professional's Outside Business Activities</w:t>
      </w:r>
      <w:bookmarkEnd w:id="5"/>
    </w:p>
    <w:p w14:paraId="1CB4921C" w14:textId="77777777" w:rsidR="00DA1D99" w:rsidRPr="007E4833" w:rsidRDefault="00DA1D99" w:rsidP="007E4833">
      <w:pPr>
        <w:jc w:val="both"/>
        <w:rPr>
          <w:rFonts w:cstheme="minorHAnsi"/>
          <w:b/>
          <w:bCs/>
          <w:sz w:val="20"/>
          <w:szCs w:val="20"/>
        </w:rPr>
      </w:pPr>
    </w:p>
    <w:p w14:paraId="56560381" w14:textId="4D11FE10" w:rsidR="00DA1D99" w:rsidRPr="007E4833" w:rsidRDefault="00DA1D99" w:rsidP="007E4833">
      <w:pPr>
        <w:jc w:val="both"/>
        <w:rPr>
          <w:rFonts w:cstheme="minorHAnsi"/>
          <w:sz w:val="22"/>
          <w:szCs w:val="22"/>
        </w:rPr>
      </w:pPr>
      <w:r w:rsidRPr="007E4833">
        <w:rPr>
          <w:rFonts w:cstheme="minorHAnsi"/>
          <w:sz w:val="22"/>
          <w:szCs w:val="22"/>
        </w:rPr>
        <w:t xml:space="preserve">Our financial professionals may engage in certain approved outside business activities other than providing brokerage and advisory services through </w:t>
      </w:r>
      <w:r w:rsidR="009C2F50" w:rsidRPr="007E4833">
        <w:rPr>
          <w:rFonts w:cstheme="minorHAnsi"/>
          <w:sz w:val="22"/>
          <w:szCs w:val="22"/>
        </w:rPr>
        <w:t>BSL</w:t>
      </w:r>
      <w:r w:rsidRPr="007E4833">
        <w:rPr>
          <w:rFonts w:cstheme="minorHAnsi"/>
          <w:sz w:val="22"/>
          <w:szCs w:val="22"/>
        </w:rPr>
        <w:t xml:space="preserve">, and in certain cases, a financial professional receives more compensation, benefits, and non-cash compensation through an outside business activity than through </w:t>
      </w:r>
      <w:r w:rsidR="009C2F50" w:rsidRPr="007E4833">
        <w:rPr>
          <w:rFonts w:cstheme="minorHAnsi"/>
          <w:sz w:val="22"/>
          <w:szCs w:val="22"/>
        </w:rPr>
        <w:t>BSL</w:t>
      </w:r>
      <w:r w:rsidRPr="007E4833">
        <w:rPr>
          <w:rFonts w:cstheme="minorHAnsi"/>
          <w:sz w:val="22"/>
          <w:szCs w:val="22"/>
        </w:rPr>
        <w:t>.</w:t>
      </w:r>
      <w:r w:rsidR="00AB3CED" w:rsidRPr="007E4833">
        <w:rPr>
          <w:rFonts w:cstheme="minorHAnsi"/>
          <w:sz w:val="22"/>
          <w:szCs w:val="22"/>
        </w:rPr>
        <w:t xml:space="preserve"> </w:t>
      </w:r>
    </w:p>
    <w:p w14:paraId="3CD142B5" w14:textId="77777777" w:rsidR="00DA1D99" w:rsidRPr="007E4833" w:rsidRDefault="00DA1D99" w:rsidP="007E4833">
      <w:pPr>
        <w:jc w:val="both"/>
        <w:rPr>
          <w:rFonts w:cstheme="minorHAnsi"/>
          <w:sz w:val="22"/>
          <w:szCs w:val="22"/>
        </w:rPr>
      </w:pPr>
    </w:p>
    <w:p w14:paraId="31EC788E" w14:textId="24257FCA" w:rsidR="00AB3CED" w:rsidRPr="007E4833" w:rsidRDefault="00AB3CED" w:rsidP="007E4833">
      <w:pPr>
        <w:jc w:val="both"/>
        <w:rPr>
          <w:rFonts w:cstheme="minorHAnsi"/>
          <w:sz w:val="22"/>
          <w:szCs w:val="22"/>
        </w:rPr>
      </w:pPr>
      <w:r w:rsidRPr="007E4833">
        <w:rPr>
          <w:rFonts w:cstheme="minorHAnsi"/>
          <w:sz w:val="22"/>
          <w:szCs w:val="22"/>
        </w:rPr>
        <w:t xml:space="preserve">When this happens, </w:t>
      </w:r>
      <w:r w:rsidR="00DA1D99" w:rsidRPr="007E4833">
        <w:rPr>
          <w:rFonts w:cstheme="minorHAnsi"/>
          <w:sz w:val="22"/>
          <w:szCs w:val="22"/>
        </w:rPr>
        <w:t xml:space="preserve">the financial professional is subject to the policies and procedures of the third-party </w:t>
      </w:r>
      <w:r w:rsidRPr="007E4833">
        <w:rPr>
          <w:rFonts w:cstheme="minorHAnsi"/>
          <w:sz w:val="22"/>
          <w:szCs w:val="22"/>
        </w:rPr>
        <w:t xml:space="preserve">entity, and there are </w:t>
      </w:r>
      <w:r w:rsidR="00DA1D99" w:rsidRPr="007E4833">
        <w:rPr>
          <w:rFonts w:cstheme="minorHAnsi"/>
          <w:sz w:val="22"/>
          <w:szCs w:val="22"/>
        </w:rPr>
        <w:t xml:space="preserve">different conflicts of interest </w:t>
      </w:r>
      <w:r w:rsidRPr="007E4833">
        <w:rPr>
          <w:rFonts w:cstheme="minorHAnsi"/>
          <w:sz w:val="22"/>
          <w:szCs w:val="22"/>
        </w:rPr>
        <w:t>in addition to those discuss by</w:t>
      </w:r>
      <w:r w:rsidR="00DA1D99" w:rsidRPr="007E4833">
        <w:rPr>
          <w:rFonts w:cstheme="minorHAnsi"/>
          <w:sz w:val="22"/>
          <w:szCs w:val="22"/>
        </w:rPr>
        <w:t xml:space="preserve"> </w:t>
      </w:r>
      <w:r w:rsidR="009C2F50" w:rsidRPr="007E4833">
        <w:rPr>
          <w:rFonts w:cstheme="minorHAnsi"/>
          <w:sz w:val="22"/>
          <w:szCs w:val="22"/>
        </w:rPr>
        <w:t>BSL</w:t>
      </w:r>
      <w:r w:rsidR="00DA1D99" w:rsidRPr="007E4833">
        <w:rPr>
          <w:rFonts w:cstheme="minorHAnsi"/>
          <w:sz w:val="22"/>
          <w:szCs w:val="22"/>
        </w:rPr>
        <w:t xml:space="preserve">. A financial professional may receive compensation, benefits, and non-cash compensation through the third-party insurance agency and may have an incentive to recommend you purchase insurance products away from </w:t>
      </w:r>
      <w:r w:rsidR="009C2F50" w:rsidRPr="007E4833">
        <w:rPr>
          <w:rFonts w:cstheme="minorHAnsi"/>
          <w:sz w:val="22"/>
          <w:szCs w:val="22"/>
        </w:rPr>
        <w:t>BSL</w:t>
      </w:r>
      <w:r w:rsidR="00DA1D99" w:rsidRPr="007E4833">
        <w:rPr>
          <w:rFonts w:cstheme="minorHAnsi"/>
          <w:sz w:val="22"/>
          <w:szCs w:val="22"/>
        </w:rPr>
        <w:t xml:space="preserve">. </w:t>
      </w:r>
      <w:r w:rsidRPr="007E4833">
        <w:rPr>
          <w:rFonts w:cstheme="minorHAnsi"/>
          <w:sz w:val="22"/>
          <w:szCs w:val="22"/>
        </w:rPr>
        <w:t xml:space="preserve"> If you contract with a financial professional for services separate or away from </w:t>
      </w:r>
      <w:r w:rsidR="009C2F50" w:rsidRPr="007E4833">
        <w:rPr>
          <w:rFonts w:cstheme="minorHAnsi"/>
          <w:sz w:val="22"/>
          <w:szCs w:val="22"/>
        </w:rPr>
        <w:t>BSL</w:t>
      </w:r>
      <w:r w:rsidRPr="007E4833">
        <w:rPr>
          <w:rFonts w:cstheme="minorHAnsi"/>
          <w:sz w:val="22"/>
          <w:szCs w:val="22"/>
        </w:rPr>
        <w:t xml:space="preserve">, you should discuss any questions you have about the compensation they receive from the outside activity.  </w:t>
      </w:r>
    </w:p>
    <w:p w14:paraId="57D9A5A5" w14:textId="77777777" w:rsidR="00AB3CED" w:rsidRPr="007E4833" w:rsidRDefault="00AB3CED" w:rsidP="007E4833">
      <w:pPr>
        <w:jc w:val="both"/>
        <w:rPr>
          <w:rFonts w:cstheme="minorHAnsi"/>
          <w:sz w:val="22"/>
          <w:szCs w:val="22"/>
        </w:rPr>
      </w:pPr>
    </w:p>
    <w:p w14:paraId="42F8E13C" w14:textId="2D0CAA3D" w:rsidR="00DA1D99" w:rsidRPr="007E4833" w:rsidRDefault="009C2F50" w:rsidP="007E4833">
      <w:pPr>
        <w:jc w:val="both"/>
        <w:rPr>
          <w:rFonts w:cstheme="minorHAnsi"/>
          <w:sz w:val="22"/>
          <w:szCs w:val="22"/>
        </w:rPr>
      </w:pPr>
      <w:r w:rsidRPr="007E4833">
        <w:rPr>
          <w:rFonts w:cstheme="minorHAnsi"/>
          <w:sz w:val="22"/>
          <w:szCs w:val="22"/>
        </w:rPr>
        <w:t xml:space="preserve">BSL </w:t>
      </w:r>
      <w:r w:rsidR="00AB3CED" w:rsidRPr="007E4833">
        <w:rPr>
          <w:rFonts w:cstheme="minorHAnsi"/>
          <w:sz w:val="22"/>
          <w:szCs w:val="22"/>
        </w:rPr>
        <w:t xml:space="preserve">requires the financial professional to disclose these activities but they are offered outside the services provided by </w:t>
      </w:r>
      <w:r w:rsidRPr="007E4833">
        <w:rPr>
          <w:rFonts w:cstheme="minorHAnsi"/>
          <w:sz w:val="22"/>
          <w:szCs w:val="22"/>
        </w:rPr>
        <w:t>BSL</w:t>
      </w:r>
      <w:r w:rsidR="00AB3CED" w:rsidRPr="007E4833">
        <w:rPr>
          <w:rFonts w:cstheme="minorHAnsi"/>
          <w:sz w:val="22"/>
          <w:szCs w:val="22"/>
        </w:rPr>
        <w:t xml:space="preserve"> and subject to their own separate disclosures. You can find more information on FINRA's website at https:// brokercheck.finra.org. </w:t>
      </w:r>
    </w:p>
    <w:p w14:paraId="5B2841CB" w14:textId="77777777" w:rsidR="00120237" w:rsidRPr="007E4833" w:rsidRDefault="00120237" w:rsidP="007E4833">
      <w:pPr>
        <w:jc w:val="both"/>
        <w:rPr>
          <w:rFonts w:cstheme="minorHAnsi"/>
          <w:sz w:val="22"/>
          <w:szCs w:val="22"/>
        </w:rPr>
      </w:pPr>
    </w:p>
    <w:p w14:paraId="3270E98E" w14:textId="533DAA7A" w:rsidR="00120237" w:rsidRPr="007E4833" w:rsidRDefault="00120237" w:rsidP="007E4833">
      <w:pPr>
        <w:jc w:val="both"/>
        <w:rPr>
          <w:rFonts w:cstheme="minorHAnsi"/>
          <w:sz w:val="22"/>
          <w:szCs w:val="22"/>
        </w:rPr>
      </w:pPr>
      <w:r w:rsidRPr="007E4833">
        <w:rPr>
          <w:rFonts w:cstheme="minorHAnsi"/>
          <w:sz w:val="22"/>
          <w:szCs w:val="22"/>
        </w:rPr>
        <w:t>Please be advised of the following:</w:t>
      </w:r>
    </w:p>
    <w:p w14:paraId="30BCBA23" w14:textId="59EBC278" w:rsidR="00120237" w:rsidRPr="007E4833" w:rsidRDefault="00120237" w:rsidP="007E4833">
      <w:pPr>
        <w:pStyle w:val="ListParagraph"/>
        <w:numPr>
          <w:ilvl w:val="0"/>
          <w:numId w:val="20"/>
        </w:numPr>
        <w:jc w:val="both"/>
        <w:rPr>
          <w:rFonts w:cstheme="minorHAnsi"/>
          <w:sz w:val="22"/>
          <w:szCs w:val="22"/>
        </w:rPr>
      </w:pPr>
      <w:r w:rsidRPr="007E4833">
        <w:rPr>
          <w:rFonts w:cstheme="minorHAnsi"/>
          <w:sz w:val="22"/>
          <w:szCs w:val="22"/>
        </w:rPr>
        <w:t xml:space="preserve">DO NOT issue a check or other form or payment to a financial professional’s outside business activity name or entity for any </w:t>
      </w:r>
      <w:r w:rsidR="009C2F50" w:rsidRPr="007E4833">
        <w:rPr>
          <w:rFonts w:cstheme="minorHAnsi"/>
          <w:sz w:val="22"/>
          <w:szCs w:val="22"/>
        </w:rPr>
        <w:t>BSL</w:t>
      </w:r>
      <w:r w:rsidRPr="007E4833">
        <w:rPr>
          <w:rFonts w:cstheme="minorHAnsi"/>
          <w:sz w:val="22"/>
          <w:szCs w:val="22"/>
        </w:rPr>
        <w:t xml:space="preserve"> business</w:t>
      </w:r>
    </w:p>
    <w:p w14:paraId="06741A73" w14:textId="060311BE" w:rsidR="00120237" w:rsidRPr="007E4833" w:rsidRDefault="00120237" w:rsidP="007E4833">
      <w:pPr>
        <w:pStyle w:val="ListParagraph"/>
        <w:numPr>
          <w:ilvl w:val="0"/>
          <w:numId w:val="20"/>
        </w:numPr>
        <w:jc w:val="both"/>
        <w:rPr>
          <w:rFonts w:cstheme="minorHAnsi"/>
          <w:sz w:val="22"/>
          <w:szCs w:val="22"/>
        </w:rPr>
      </w:pPr>
      <w:r w:rsidRPr="007E4833">
        <w:rPr>
          <w:rFonts w:cstheme="minorHAnsi"/>
          <w:sz w:val="22"/>
          <w:szCs w:val="22"/>
        </w:rPr>
        <w:t xml:space="preserve">DO NOT issue a check or other form or payment to a financial professional’s outside business activity name or entity for any </w:t>
      </w:r>
      <w:r w:rsidR="009C2F50" w:rsidRPr="007E4833">
        <w:rPr>
          <w:rFonts w:cstheme="minorHAnsi"/>
          <w:sz w:val="22"/>
          <w:szCs w:val="22"/>
        </w:rPr>
        <w:t>BSL</w:t>
      </w:r>
      <w:r w:rsidRPr="007E4833">
        <w:rPr>
          <w:rFonts w:cstheme="minorHAnsi"/>
          <w:sz w:val="22"/>
          <w:szCs w:val="22"/>
        </w:rPr>
        <w:t xml:space="preserve"> investment. ALL payments for investments must be made to </w:t>
      </w:r>
      <w:r w:rsidR="005853B6" w:rsidRPr="007E4833">
        <w:rPr>
          <w:rFonts w:cstheme="minorHAnsi"/>
          <w:sz w:val="22"/>
          <w:szCs w:val="22"/>
        </w:rPr>
        <w:t>Vision Financial Markets</w:t>
      </w:r>
      <w:r w:rsidRPr="007E4833">
        <w:rPr>
          <w:rFonts w:cstheme="minorHAnsi"/>
          <w:sz w:val="22"/>
          <w:szCs w:val="22"/>
        </w:rPr>
        <w:t>, or directly to the product sponsor.</w:t>
      </w:r>
    </w:p>
    <w:p w14:paraId="163ABBBC" w14:textId="3ECC4A37" w:rsidR="00120237" w:rsidRPr="007E4833" w:rsidRDefault="00120237" w:rsidP="007E4833">
      <w:pPr>
        <w:pStyle w:val="ListParagraph"/>
        <w:numPr>
          <w:ilvl w:val="0"/>
          <w:numId w:val="20"/>
        </w:numPr>
        <w:jc w:val="both"/>
        <w:rPr>
          <w:rFonts w:cstheme="minorHAnsi"/>
          <w:sz w:val="22"/>
          <w:szCs w:val="22"/>
        </w:rPr>
      </w:pPr>
      <w:r w:rsidRPr="007E4833">
        <w:rPr>
          <w:rFonts w:cstheme="minorHAnsi"/>
          <w:sz w:val="22"/>
          <w:szCs w:val="22"/>
        </w:rPr>
        <w:lastRenderedPageBreak/>
        <w:t xml:space="preserve">ASK before investing.  If you are confused about the relationship between a financial professional’s outside activity and </w:t>
      </w:r>
      <w:r w:rsidR="009C2F50" w:rsidRPr="007E4833">
        <w:rPr>
          <w:rFonts w:cstheme="minorHAnsi"/>
          <w:sz w:val="22"/>
          <w:szCs w:val="22"/>
        </w:rPr>
        <w:t>BSL</w:t>
      </w:r>
      <w:r w:rsidRPr="007E4833">
        <w:rPr>
          <w:rFonts w:cstheme="minorHAnsi"/>
          <w:sz w:val="22"/>
          <w:szCs w:val="22"/>
        </w:rPr>
        <w:t>, please contact us immediately at</w:t>
      </w:r>
      <w:r w:rsidR="009C2F50" w:rsidRPr="007E4833">
        <w:rPr>
          <w:rFonts w:cstheme="minorHAnsi"/>
          <w:sz w:val="22"/>
          <w:szCs w:val="22"/>
        </w:rPr>
        <w:t>, legal@boustead</w:t>
      </w:r>
      <w:r w:rsidR="00022954" w:rsidRPr="007E4833">
        <w:rPr>
          <w:rFonts w:cstheme="minorHAnsi"/>
          <w:sz w:val="22"/>
          <w:szCs w:val="22"/>
        </w:rPr>
        <w:t>1828.com</w:t>
      </w:r>
    </w:p>
    <w:p w14:paraId="6ACF6656" w14:textId="77777777" w:rsidR="00120237" w:rsidRPr="007E4833" w:rsidRDefault="00120237" w:rsidP="007E4833">
      <w:pPr>
        <w:jc w:val="both"/>
        <w:rPr>
          <w:rFonts w:cstheme="minorHAnsi"/>
          <w:sz w:val="22"/>
          <w:szCs w:val="22"/>
        </w:rPr>
      </w:pPr>
    </w:p>
    <w:p w14:paraId="47654583" w14:textId="0BCED71C" w:rsidR="00BB5817" w:rsidRPr="007E4833" w:rsidRDefault="00BB5817" w:rsidP="007E4833">
      <w:pPr>
        <w:pStyle w:val="Heading1"/>
        <w:jc w:val="both"/>
        <w:rPr>
          <w:rFonts w:asciiTheme="minorHAnsi" w:hAnsiTheme="minorHAnsi" w:cstheme="minorHAnsi"/>
        </w:rPr>
      </w:pPr>
      <w:bookmarkStart w:id="6" w:name="_Toc453503809"/>
      <w:r w:rsidRPr="007E4833">
        <w:rPr>
          <w:rFonts w:asciiTheme="minorHAnsi" w:hAnsiTheme="minorHAnsi" w:cstheme="minorHAnsi"/>
        </w:rPr>
        <w:t>T</w:t>
      </w:r>
      <w:r w:rsidR="00B11641" w:rsidRPr="007E4833">
        <w:rPr>
          <w:rFonts w:asciiTheme="minorHAnsi" w:hAnsiTheme="minorHAnsi" w:cstheme="minorHAnsi"/>
        </w:rPr>
        <w:t>hird Party Compensation</w:t>
      </w:r>
      <w:bookmarkEnd w:id="6"/>
    </w:p>
    <w:p w14:paraId="0C489EEC" w14:textId="77777777" w:rsidR="006F4572" w:rsidRPr="007E4833" w:rsidRDefault="006F4572" w:rsidP="007E4833">
      <w:pPr>
        <w:jc w:val="both"/>
        <w:rPr>
          <w:rFonts w:cstheme="minorHAnsi"/>
          <w:b/>
          <w:bCs/>
          <w:sz w:val="20"/>
          <w:szCs w:val="20"/>
        </w:rPr>
      </w:pPr>
    </w:p>
    <w:p w14:paraId="13288C82" w14:textId="3E978AA4" w:rsidR="00BB5817" w:rsidRPr="007E4833" w:rsidRDefault="009C2F50" w:rsidP="007E4833">
      <w:pPr>
        <w:pStyle w:val="BodyText"/>
        <w:jc w:val="both"/>
        <w:rPr>
          <w:rFonts w:cstheme="minorHAnsi"/>
        </w:rPr>
      </w:pPr>
      <w:r w:rsidRPr="007E4833">
        <w:rPr>
          <w:rFonts w:cstheme="minorHAnsi"/>
        </w:rPr>
        <w:t>BSL</w:t>
      </w:r>
      <w:r w:rsidR="00BB5817" w:rsidRPr="007E4833">
        <w:rPr>
          <w:rFonts w:cstheme="minorHAnsi"/>
        </w:rPr>
        <w:t xml:space="preserve"> and </w:t>
      </w:r>
      <w:r w:rsidR="00B11641" w:rsidRPr="007E4833">
        <w:rPr>
          <w:rFonts w:cstheme="minorHAnsi"/>
        </w:rPr>
        <w:t>our</w:t>
      </w:r>
      <w:r w:rsidR="002D5415" w:rsidRPr="007E4833">
        <w:rPr>
          <w:rFonts w:cstheme="minorHAnsi"/>
        </w:rPr>
        <w:t xml:space="preserve"> </w:t>
      </w:r>
      <w:r w:rsidR="006F4572" w:rsidRPr="007E4833">
        <w:rPr>
          <w:rFonts w:cstheme="minorHAnsi"/>
        </w:rPr>
        <w:t xml:space="preserve">financial professionals receive compensation </w:t>
      </w:r>
      <w:r w:rsidR="00F64377" w:rsidRPr="007E4833">
        <w:rPr>
          <w:rFonts w:cstheme="minorHAnsi"/>
        </w:rPr>
        <w:t>from investment</w:t>
      </w:r>
      <w:r w:rsidR="00BB5817" w:rsidRPr="007E4833">
        <w:rPr>
          <w:rFonts w:cstheme="minorHAnsi"/>
        </w:rPr>
        <w:t xml:space="preserve"> product sponsors and </w:t>
      </w:r>
      <w:r w:rsidR="00F64377" w:rsidRPr="007E4833">
        <w:rPr>
          <w:rFonts w:cstheme="minorHAnsi"/>
        </w:rPr>
        <w:t>other third</w:t>
      </w:r>
      <w:r w:rsidR="00BB5817" w:rsidRPr="007E4833">
        <w:rPr>
          <w:rFonts w:cstheme="minorHAnsi"/>
        </w:rPr>
        <w:t xml:space="preserve"> parties in connection with investments that </w:t>
      </w:r>
      <w:r w:rsidR="0022215D" w:rsidRPr="007E4833">
        <w:rPr>
          <w:rFonts w:cstheme="minorHAnsi"/>
        </w:rPr>
        <w:t>our</w:t>
      </w:r>
      <w:r w:rsidR="00BB5817" w:rsidRPr="007E4833">
        <w:rPr>
          <w:rFonts w:cstheme="minorHAnsi"/>
        </w:rPr>
        <w:t xml:space="preserve"> customers make in securities such as mutual funds, annuities, and alternative investments. </w:t>
      </w:r>
      <w:r w:rsidR="00B11641" w:rsidRPr="007E4833">
        <w:rPr>
          <w:rFonts w:cstheme="minorHAnsi"/>
        </w:rPr>
        <w:t>Certain</w:t>
      </w:r>
      <w:r w:rsidR="00BB5817" w:rsidRPr="007E4833">
        <w:rPr>
          <w:rFonts w:cstheme="minorHAnsi"/>
        </w:rPr>
        <w:t xml:space="preserve"> types of </w:t>
      </w:r>
      <w:r w:rsidR="00F64377" w:rsidRPr="007E4833">
        <w:rPr>
          <w:rFonts w:cstheme="minorHAnsi"/>
        </w:rPr>
        <w:t>third-party</w:t>
      </w:r>
      <w:r w:rsidR="00BB5817" w:rsidRPr="007E4833">
        <w:rPr>
          <w:rFonts w:cstheme="minorHAnsi"/>
        </w:rPr>
        <w:t xml:space="preserve"> compensation are received by </w:t>
      </w:r>
      <w:r w:rsidRPr="007E4833">
        <w:rPr>
          <w:rFonts w:cstheme="minorHAnsi"/>
        </w:rPr>
        <w:t>BSL</w:t>
      </w:r>
      <w:r w:rsidR="006F4572" w:rsidRPr="007E4833">
        <w:rPr>
          <w:rFonts w:cstheme="minorHAnsi"/>
        </w:rPr>
        <w:t xml:space="preserve"> </w:t>
      </w:r>
      <w:r w:rsidR="00F64377" w:rsidRPr="007E4833">
        <w:rPr>
          <w:rFonts w:cstheme="minorHAnsi"/>
        </w:rPr>
        <w:t xml:space="preserve">and shared with </w:t>
      </w:r>
      <w:r w:rsidR="00B11641" w:rsidRPr="007E4833">
        <w:rPr>
          <w:rFonts w:cstheme="minorHAnsi"/>
        </w:rPr>
        <w:t>our</w:t>
      </w:r>
      <w:r w:rsidR="002D5415" w:rsidRPr="007E4833">
        <w:rPr>
          <w:rFonts w:cstheme="minorHAnsi"/>
        </w:rPr>
        <w:t xml:space="preserve"> </w:t>
      </w:r>
      <w:r w:rsidR="00F64377" w:rsidRPr="007E4833">
        <w:rPr>
          <w:rFonts w:cstheme="minorHAnsi"/>
        </w:rPr>
        <w:t>financial professionals</w:t>
      </w:r>
      <w:r w:rsidR="00BB5817" w:rsidRPr="007E4833">
        <w:rPr>
          <w:rFonts w:cstheme="minorHAnsi"/>
        </w:rPr>
        <w:t xml:space="preserve">, </w:t>
      </w:r>
      <w:r w:rsidR="00F64377" w:rsidRPr="007E4833">
        <w:rPr>
          <w:rFonts w:cstheme="minorHAnsi"/>
        </w:rPr>
        <w:t xml:space="preserve">and other types are retained only by </w:t>
      </w:r>
      <w:r w:rsidRPr="007E4833">
        <w:rPr>
          <w:rFonts w:cstheme="minorHAnsi"/>
        </w:rPr>
        <w:t>BSL</w:t>
      </w:r>
      <w:r w:rsidR="00BB5817" w:rsidRPr="007E4833">
        <w:rPr>
          <w:rFonts w:cstheme="minorHAnsi"/>
        </w:rPr>
        <w:t>.</w:t>
      </w:r>
    </w:p>
    <w:p w14:paraId="57BBC5AA" w14:textId="77777777" w:rsidR="006F4572" w:rsidRPr="007E4833" w:rsidRDefault="006F4572" w:rsidP="007E4833">
      <w:pPr>
        <w:jc w:val="both"/>
        <w:rPr>
          <w:rFonts w:cstheme="minorHAnsi"/>
          <w:sz w:val="20"/>
          <w:szCs w:val="20"/>
        </w:rPr>
      </w:pPr>
    </w:p>
    <w:p w14:paraId="2AB06F22" w14:textId="599AFA53" w:rsidR="00BB5817" w:rsidRPr="007E4833" w:rsidRDefault="00BB5817" w:rsidP="007E4833">
      <w:pPr>
        <w:pStyle w:val="Heading2"/>
        <w:jc w:val="both"/>
        <w:rPr>
          <w:rFonts w:asciiTheme="minorHAnsi" w:hAnsiTheme="minorHAnsi" w:cstheme="minorHAnsi"/>
        </w:rPr>
      </w:pPr>
      <w:bookmarkStart w:id="7" w:name="_Toc453503810"/>
      <w:r w:rsidRPr="007E4833">
        <w:rPr>
          <w:rFonts w:asciiTheme="minorHAnsi" w:hAnsiTheme="minorHAnsi" w:cstheme="minorHAnsi"/>
        </w:rPr>
        <w:t>Trail Compensation</w:t>
      </w:r>
      <w:bookmarkEnd w:id="7"/>
    </w:p>
    <w:p w14:paraId="29822DC0" w14:textId="77777777" w:rsidR="006F4572" w:rsidRPr="007E4833" w:rsidRDefault="006F4572" w:rsidP="007E4833">
      <w:pPr>
        <w:jc w:val="both"/>
        <w:rPr>
          <w:rFonts w:cstheme="minorHAnsi"/>
          <w:b/>
          <w:bCs/>
          <w:sz w:val="20"/>
          <w:szCs w:val="20"/>
        </w:rPr>
      </w:pPr>
    </w:p>
    <w:p w14:paraId="43F0B122" w14:textId="26559A25" w:rsidR="00E25A44" w:rsidRPr="007E4833" w:rsidRDefault="009C2F50" w:rsidP="007E4833">
      <w:pPr>
        <w:jc w:val="both"/>
        <w:rPr>
          <w:rFonts w:cstheme="minorHAnsi"/>
          <w:sz w:val="22"/>
          <w:szCs w:val="22"/>
        </w:rPr>
      </w:pPr>
      <w:r w:rsidRPr="007E4833">
        <w:rPr>
          <w:rFonts w:cstheme="minorHAnsi"/>
          <w:sz w:val="22"/>
          <w:szCs w:val="22"/>
        </w:rPr>
        <w:t>BSL</w:t>
      </w:r>
      <w:r w:rsidR="006F4572" w:rsidRPr="007E4833">
        <w:rPr>
          <w:rFonts w:cstheme="minorHAnsi"/>
          <w:sz w:val="22"/>
          <w:szCs w:val="22"/>
        </w:rPr>
        <w:t xml:space="preserve"> and </w:t>
      </w:r>
      <w:r w:rsidR="00802075" w:rsidRPr="007E4833">
        <w:rPr>
          <w:rFonts w:cstheme="minorHAnsi"/>
          <w:sz w:val="22"/>
          <w:szCs w:val="22"/>
        </w:rPr>
        <w:t>our</w:t>
      </w:r>
      <w:r w:rsidR="00BB5817" w:rsidRPr="007E4833">
        <w:rPr>
          <w:rFonts w:cstheme="minorHAnsi"/>
          <w:sz w:val="22"/>
          <w:szCs w:val="22"/>
        </w:rPr>
        <w:t xml:space="preserve"> financial professionals </w:t>
      </w:r>
      <w:r w:rsidR="001372B3">
        <w:rPr>
          <w:rFonts w:cstheme="minorHAnsi"/>
          <w:sz w:val="22"/>
          <w:szCs w:val="22"/>
        </w:rPr>
        <w:t xml:space="preserve">may </w:t>
      </w:r>
      <w:r w:rsidR="006F4572" w:rsidRPr="007E4833">
        <w:rPr>
          <w:rFonts w:cstheme="minorHAnsi"/>
          <w:sz w:val="22"/>
          <w:szCs w:val="22"/>
        </w:rPr>
        <w:t>r</w:t>
      </w:r>
      <w:r w:rsidR="00BB5817" w:rsidRPr="007E4833">
        <w:rPr>
          <w:rFonts w:cstheme="minorHAnsi"/>
          <w:sz w:val="22"/>
          <w:szCs w:val="22"/>
        </w:rPr>
        <w:t>eceive ongoing compensation from certain investment products</w:t>
      </w:r>
      <w:r w:rsidR="009D2581" w:rsidRPr="007E4833">
        <w:rPr>
          <w:rFonts w:cstheme="minorHAnsi"/>
          <w:sz w:val="22"/>
          <w:szCs w:val="22"/>
        </w:rPr>
        <w:t xml:space="preserve"> </w:t>
      </w:r>
      <w:r w:rsidR="00BB5817" w:rsidRPr="007E4833">
        <w:rPr>
          <w:rFonts w:cstheme="minorHAnsi"/>
          <w:sz w:val="22"/>
          <w:szCs w:val="22"/>
        </w:rPr>
        <w:t>such</w:t>
      </w:r>
      <w:r w:rsidR="009D2581" w:rsidRPr="007E4833">
        <w:rPr>
          <w:rFonts w:cstheme="minorHAnsi"/>
          <w:sz w:val="22"/>
          <w:szCs w:val="22"/>
        </w:rPr>
        <w:t xml:space="preserve"> </w:t>
      </w:r>
      <w:r w:rsidR="00BB5817" w:rsidRPr="007E4833">
        <w:rPr>
          <w:rFonts w:cstheme="minorHAnsi"/>
          <w:sz w:val="22"/>
          <w:szCs w:val="22"/>
        </w:rPr>
        <w:t>as</w:t>
      </w:r>
      <w:r w:rsidR="00BB5817" w:rsidRPr="007E4833">
        <w:rPr>
          <w:rFonts w:cstheme="minorHAnsi"/>
          <w:sz w:val="20"/>
          <w:szCs w:val="20"/>
        </w:rPr>
        <w:t xml:space="preserve"> </w:t>
      </w:r>
      <w:r w:rsidR="00BB5817" w:rsidRPr="007E4833">
        <w:rPr>
          <w:rFonts w:cstheme="minorHAnsi"/>
          <w:sz w:val="22"/>
          <w:szCs w:val="22"/>
        </w:rPr>
        <w:t>mutual funds, annuities</w:t>
      </w:r>
      <w:r w:rsidR="00802075" w:rsidRPr="007E4833">
        <w:rPr>
          <w:rFonts w:cstheme="minorHAnsi"/>
          <w:sz w:val="22"/>
          <w:szCs w:val="22"/>
        </w:rPr>
        <w:t>,</w:t>
      </w:r>
      <w:r w:rsidR="00BB5817" w:rsidRPr="007E4833">
        <w:rPr>
          <w:rFonts w:cstheme="minorHAnsi"/>
          <w:sz w:val="22"/>
          <w:szCs w:val="22"/>
        </w:rPr>
        <w:t xml:space="preserve"> and altern</w:t>
      </w:r>
      <w:r w:rsidR="009A70CA" w:rsidRPr="007E4833">
        <w:rPr>
          <w:rFonts w:cstheme="minorHAnsi"/>
          <w:sz w:val="22"/>
          <w:szCs w:val="22"/>
        </w:rPr>
        <w:t>ative</w:t>
      </w:r>
      <w:r w:rsidR="00BB5817" w:rsidRPr="007E4833">
        <w:rPr>
          <w:rFonts w:cstheme="minorHAnsi"/>
          <w:sz w:val="22"/>
          <w:szCs w:val="22"/>
        </w:rPr>
        <w:t xml:space="preserve"> investments. This compensation (commonly known as trails or Rule 12</w:t>
      </w:r>
      <w:r w:rsidR="00640255" w:rsidRPr="007E4833">
        <w:rPr>
          <w:rFonts w:cstheme="minorHAnsi"/>
          <w:sz w:val="22"/>
          <w:szCs w:val="22"/>
        </w:rPr>
        <w:t>b</w:t>
      </w:r>
      <w:r w:rsidR="00BB5817" w:rsidRPr="007E4833">
        <w:rPr>
          <w:rFonts w:cstheme="minorHAnsi"/>
          <w:sz w:val="22"/>
          <w:szCs w:val="22"/>
        </w:rPr>
        <w:t xml:space="preserve">-1 fees) is typically paid </w:t>
      </w:r>
      <w:r w:rsidR="006F4572" w:rsidRPr="007E4833">
        <w:rPr>
          <w:rFonts w:cstheme="minorHAnsi"/>
          <w:sz w:val="22"/>
          <w:szCs w:val="22"/>
        </w:rPr>
        <w:t>from the assets of the investment</w:t>
      </w:r>
      <w:r w:rsidR="00BB5817" w:rsidRPr="007E4833">
        <w:rPr>
          <w:rFonts w:cstheme="minorHAnsi"/>
          <w:sz w:val="22"/>
          <w:szCs w:val="22"/>
        </w:rPr>
        <w:t xml:space="preserve"> product under a </w:t>
      </w:r>
      <w:r w:rsidR="006F4572" w:rsidRPr="007E4833">
        <w:rPr>
          <w:rFonts w:cstheme="minorHAnsi"/>
          <w:sz w:val="22"/>
          <w:szCs w:val="22"/>
        </w:rPr>
        <w:t>distribution or</w:t>
      </w:r>
      <w:r w:rsidR="00BB5817" w:rsidRPr="007E4833">
        <w:rPr>
          <w:rFonts w:cstheme="minorHAnsi"/>
          <w:sz w:val="22"/>
          <w:szCs w:val="22"/>
        </w:rPr>
        <w:t xml:space="preserve"> servicing arrangement with the investment sponsor and is calculated as a</w:t>
      </w:r>
      <w:r w:rsidR="009D2581" w:rsidRPr="007E4833">
        <w:rPr>
          <w:rFonts w:cstheme="minorHAnsi"/>
          <w:sz w:val="22"/>
          <w:szCs w:val="22"/>
        </w:rPr>
        <w:t>n</w:t>
      </w:r>
      <w:r w:rsidR="00BB5817" w:rsidRPr="007E4833">
        <w:rPr>
          <w:rFonts w:cstheme="minorHAnsi"/>
          <w:sz w:val="22"/>
          <w:szCs w:val="22"/>
        </w:rPr>
        <w:t xml:space="preserve"> annual percentage of assets invested by </w:t>
      </w:r>
      <w:r w:rsidR="00965B6F" w:rsidRPr="007E4833">
        <w:rPr>
          <w:rFonts w:cstheme="minorHAnsi"/>
          <w:sz w:val="22"/>
          <w:szCs w:val="22"/>
        </w:rPr>
        <w:t>our</w:t>
      </w:r>
      <w:r w:rsidR="00BB5817" w:rsidRPr="007E4833">
        <w:rPr>
          <w:rFonts w:cstheme="minorHAnsi"/>
          <w:sz w:val="22"/>
          <w:szCs w:val="22"/>
        </w:rPr>
        <w:t xml:space="preserve"> customers. The more assets you invest in </w:t>
      </w:r>
      <w:r w:rsidR="00965B6F" w:rsidRPr="007E4833">
        <w:rPr>
          <w:rFonts w:cstheme="minorHAnsi"/>
          <w:sz w:val="22"/>
          <w:szCs w:val="22"/>
        </w:rPr>
        <w:t>a</w:t>
      </w:r>
      <w:r w:rsidR="00BB5817" w:rsidRPr="007E4833">
        <w:rPr>
          <w:rFonts w:cstheme="minorHAnsi"/>
          <w:sz w:val="22"/>
          <w:szCs w:val="22"/>
        </w:rPr>
        <w:t xml:space="preserve"> product, the more we </w:t>
      </w:r>
      <w:r w:rsidR="00965B6F" w:rsidRPr="007E4833">
        <w:rPr>
          <w:rFonts w:cstheme="minorHAnsi"/>
          <w:sz w:val="22"/>
          <w:szCs w:val="22"/>
        </w:rPr>
        <w:t>are</w:t>
      </w:r>
      <w:r w:rsidR="00BB5817" w:rsidRPr="007E4833">
        <w:rPr>
          <w:rFonts w:cstheme="minorHAnsi"/>
          <w:sz w:val="22"/>
          <w:szCs w:val="22"/>
        </w:rPr>
        <w:t xml:space="preserve"> paid in these fees. Therefore, we have an incentive</w:t>
      </w:r>
      <w:r w:rsidR="009A70CA" w:rsidRPr="007E4833">
        <w:rPr>
          <w:rFonts w:cstheme="minorHAnsi"/>
          <w:sz w:val="22"/>
          <w:szCs w:val="22"/>
        </w:rPr>
        <w:t xml:space="preserve"> </w:t>
      </w:r>
      <w:r w:rsidR="00BB5817" w:rsidRPr="007E4833">
        <w:rPr>
          <w:rFonts w:cstheme="minorHAnsi"/>
          <w:sz w:val="22"/>
          <w:szCs w:val="22"/>
        </w:rPr>
        <w:t xml:space="preserve">to encourage you to </w:t>
      </w:r>
      <w:r w:rsidR="00802075" w:rsidRPr="007E4833">
        <w:rPr>
          <w:rFonts w:cstheme="minorHAnsi"/>
          <w:sz w:val="22"/>
          <w:szCs w:val="22"/>
        </w:rPr>
        <w:t xml:space="preserve">purchase a product offered by a sponsor who shares a portion of their compensation with us or </w:t>
      </w:r>
      <w:r w:rsidR="00BB5817" w:rsidRPr="007E4833">
        <w:rPr>
          <w:rFonts w:cstheme="minorHAnsi"/>
          <w:sz w:val="22"/>
          <w:szCs w:val="22"/>
        </w:rPr>
        <w:t xml:space="preserve">increase the size </w:t>
      </w:r>
      <w:r w:rsidR="006F4572" w:rsidRPr="007E4833">
        <w:rPr>
          <w:rFonts w:cstheme="minorHAnsi"/>
          <w:sz w:val="22"/>
          <w:szCs w:val="22"/>
        </w:rPr>
        <w:t>of your</w:t>
      </w:r>
      <w:r w:rsidR="00BB5817" w:rsidRPr="007E4833">
        <w:rPr>
          <w:rFonts w:cstheme="minorHAnsi"/>
          <w:sz w:val="22"/>
          <w:szCs w:val="22"/>
        </w:rPr>
        <w:t xml:space="preserve"> </w:t>
      </w:r>
      <w:r w:rsidR="006F4572" w:rsidRPr="007E4833">
        <w:rPr>
          <w:rFonts w:cstheme="minorHAnsi"/>
          <w:sz w:val="22"/>
          <w:szCs w:val="22"/>
        </w:rPr>
        <w:t>investment.</w:t>
      </w:r>
      <w:r w:rsidR="00BB5817" w:rsidRPr="007E4833">
        <w:rPr>
          <w:rFonts w:cstheme="minorHAnsi"/>
          <w:sz w:val="22"/>
          <w:szCs w:val="22"/>
        </w:rPr>
        <w:t xml:space="preserve">  </w:t>
      </w:r>
    </w:p>
    <w:p w14:paraId="31B4A8ED" w14:textId="77777777" w:rsidR="00E25A44" w:rsidRPr="007E4833" w:rsidRDefault="00E25A44" w:rsidP="007E4833">
      <w:pPr>
        <w:jc w:val="both"/>
        <w:rPr>
          <w:rFonts w:cstheme="minorHAnsi"/>
          <w:sz w:val="22"/>
          <w:szCs w:val="22"/>
        </w:rPr>
      </w:pPr>
    </w:p>
    <w:p w14:paraId="7AC15766" w14:textId="77777777" w:rsidR="00E25A44" w:rsidRPr="007E4833" w:rsidRDefault="00BB5817" w:rsidP="007E4833">
      <w:pPr>
        <w:jc w:val="both"/>
        <w:rPr>
          <w:rFonts w:cstheme="minorHAnsi"/>
          <w:sz w:val="22"/>
          <w:szCs w:val="22"/>
        </w:rPr>
      </w:pPr>
      <w:r w:rsidRPr="007E4833">
        <w:rPr>
          <w:rFonts w:cstheme="minorHAnsi"/>
          <w:sz w:val="22"/>
          <w:szCs w:val="22"/>
        </w:rPr>
        <w:t>The</w:t>
      </w:r>
      <w:r w:rsidR="009D2581" w:rsidRPr="007E4833">
        <w:rPr>
          <w:rFonts w:cstheme="minorHAnsi"/>
          <w:sz w:val="22"/>
          <w:szCs w:val="22"/>
        </w:rPr>
        <w:t xml:space="preserve"> </w:t>
      </w:r>
      <w:r w:rsidR="00F60A9C" w:rsidRPr="007E4833">
        <w:rPr>
          <w:rFonts w:cstheme="minorHAnsi"/>
          <w:sz w:val="22"/>
          <w:szCs w:val="22"/>
        </w:rPr>
        <w:t xml:space="preserve">amount </w:t>
      </w:r>
      <w:r w:rsidRPr="007E4833">
        <w:rPr>
          <w:rFonts w:cstheme="minorHAnsi"/>
          <w:sz w:val="22"/>
          <w:szCs w:val="22"/>
        </w:rPr>
        <w:t xml:space="preserve">of trails </w:t>
      </w:r>
      <w:r w:rsidR="006F4572" w:rsidRPr="007E4833">
        <w:rPr>
          <w:rFonts w:cstheme="minorHAnsi"/>
          <w:sz w:val="22"/>
          <w:szCs w:val="22"/>
        </w:rPr>
        <w:t>received varies</w:t>
      </w:r>
      <w:r w:rsidRPr="007E4833">
        <w:rPr>
          <w:rFonts w:cstheme="minorHAnsi"/>
          <w:sz w:val="22"/>
          <w:szCs w:val="22"/>
        </w:rPr>
        <w:t xml:space="preserve"> </w:t>
      </w:r>
      <w:r w:rsidR="00B016D3" w:rsidRPr="007E4833">
        <w:rPr>
          <w:rFonts w:cstheme="minorHAnsi"/>
          <w:sz w:val="22"/>
          <w:szCs w:val="22"/>
        </w:rPr>
        <w:t>by</w:t>
      </w:r>
      <w:r w:rsidR="006F4572" w:rsidRPr="007E4833">
        <w:rPr>
          <w:rFonts w:cstheme="minorHAnsi"/>
          <w:sz w:val="22"/>
          <w:szCs w:val="22"/>
        </w:rPr>
        <w:t xml:space="preserve"> product</w:t>
      </w:r>
      <w:r w:rsidR="00B016D3" w:rsidRPr="007E4833">
        <w:rPr>
          <w:rFonts w:cstheme="minorHAnsi"/>
          <w:sz w:val="22"/>
          <w:szCs w:val="22"/>
        </w:rPr>
        <w:t>.</w:t>
      </w:r>
      <w:r w:rsidRPr="007E4833">
        <w:rPr>
          <w:rFonts w:cstheme="minorHAnsi"/>
          <w:sz w:val="22"/>
          <w:szCs w:val="22"/>
        </w:rPr>
        <w:t xml:space="preserve"> </w:t>
      </w:r>
      <w:r w:rsidR="006F4572" w:rsidRPr="007E4833">
        <w:rPr>
          <w:rFonts w:cstheme="minorHAnsi"/>
          <w:sz w:val="22"/>
          <w:szCs w:val="22"/>
        </w:rPr>
        <w:t>This creates</w:t>
      </w:r>
      <w:r w:rsidRPr="007E4833">
        <w:rPr>
          <w:rFonts w:cstheme="minorHAnsi"/>
          <w:sz w:val="22"/>
          <w:szCs w:val="22"/>
        </w:rPr>
        <w:t xml:space="preserve"> an incentive to recommend a product that pays a higher trail rather than a lower trail. We also have an incentive to</w:t>
      </w:r>
      <w:r w:rsidR="00B56B2B" w:rsidRPr="007E4833">
        <w:rPr>
          <w:rFonts w:cstheme="minorHAnsi"/>
          <w:sz w:val="22"/>
          <w:szCs w:val="22"/>
        </w:rPr>
        <w:t xml:space="preserve"> re</w:t>
      </w:r>
      <w:r w:rsidRPr="007E4833">
        <w:rPr>
          <w:rFonts w:cstheme="minorHAnsi"/>
          <w:sz w:val="22"/>
          <w:szCs w:val="22"/>
        </w:rPr>
        <w:t xml:space="preserve">commend </w:t>
      </w:r>
      <w:r w:rsidR="00965B6F" w:rsidRPr="007E4833">
        <w:rPr>
          <w:rFonts w:cstheme="minorHAnsi"/>
          <w:sz w:val="22"/>
          <w:szCs w:val="22"/>
        </w:rPr>
        <w:t xml:space="preserve">a </w:t>
      </w:r>
      <w:r w:rsidRPr="007E4833">
        <w:rPr>
          <w:rFonts w:cstheme="minorHAnsi"/>
          <w:sz w:val="22"/>
          <w:szCs w:val="22"/>
        </w:rPr>
        <w:t xml:space="preserve">product that pays trails (regardless of amount) rather than products that do not pay trails. </w:t>
      </w:r>
    </w:p>
    <w:p w14:paraId="2CA38786" w14:textId="77777777" w:rsidR="00E25A44" w:rsidRPr="007E4833" w:rsidRDefault="00E25A44" w:rsidP="007E4833">
      <w:pPr>
        <w:jc w:val="both"/>
        <w:rPr>
          <w:rFonts w:cstheme="minorHAnsi"/>
          <w:sz w:val="22"/>
          <w:szCs w:val="22"/>
        </w:rPr>
      </w:pPr>
    </w:p>
    <w:p w14:paraId="63E81836" w14:textId="6642D2F2" w:rsidR="00BB5817" w:rsidRPr="007E4833" w:rsidRDefault="00BB5817" w:rsidP="007E4833">
      <w:pPr>
        <w:jc w:val="both"/>
        <w:rPr>
          <w:rFonts w:cstheme="minorHAnsi"/>
          <w:sz w:val="22"/>
          <w:szCs w:val="22"/>
        </w:rPr>
      </w:pPr>
      <w:r w:rsidRPr="007E4833">
        <w:rPr>
          <w:rFonts w:cstheme="minorHAnsi"/>
          <w:sz w:val="22"/>
          <w:szCs w:val="22"/>
        </w:rPr>
        <w:t xml:space="preserve">For more information about trail compensation </w:t>
      </w:r>
      <w:r w:rsidR="006F4572" w:rsidRPr="007E4833">
        <w:rPr>
          <w:rFonts w:cstheme="minorHAnsi"/>
          <w:sz w:val="22"/>
          <w:szCs w:val="22"/>
        </w:rPr>
        <w:t>received with</w:t>
      </w:r>
      <w:r w:rsidRPr="007E4833">
        <w:rPr>
          <w:rFonts w:cstheme="minorHAnsi"/>
          <w:sz w:val="22"/>
          <w:szCs w:val="22"/>
        </w:rPr>
        <w:t xml:space="preserve"> respect to a particular investm</w:t>
      </w:r>
      <w:r w:rsidR="00B56B2B" w:rsidRPr="007E4833">
        <w:rPr>
          <w:rFonts w:cstheme="minorHAnsi"/>
          <w:sz w:val="22"/>
          <w:szCs w:val="22"/>
        </w:rPr>
        <w:t>e</w:t>
      </w:r>
      <w:r w:rsidRPr="007E4833">
        <w:rPr>
          <w:rFonts w:cstheme="minorHAnsi"/>
          <w:sz w:val="22"/>
          <w:szCs w:val="22"/>
        </w:rPr>
        <w:t>nt, please refer to the prospectus or offering document for the investment.</w:t>
      </w:r>
    </w:p>
    <w:p w14:paraId="4EADB388" w14:textId="77777777" w:rsidR="006F4572" w:rsidRPr="007E4833" w:rsidRDefault="006F4572" w:rsidP="007E4833">
      <w:pPr>
        <w:jc w:val="both"/>
        <w:rPr>
          <w:rFonts w:cstheme="minorHAnsi"/>
          <w:sz w:val="22"/>
          <w:szCs w:val="22"/>
        </w:rPr>
      </w:pPr>
    </w:p>
    <w:p w14:paraId="59F5AE7A" w14:textId="07472045" w:rsidR="00BB5817" w:rsidRPr="00012B72" w:rsidRDefault="00BB5817" w:rsidP="007E4833">
      <w:pPr>
        <w:pStyle w:val="ListParagraph"/>
        <w:numPr>
          <w:ilvl w:val="0"/>
          <w:numId w:val="2"/>
        </w:numPr>
        <w:jc w:val="both"/>
        <w:rPr>
          <w:rFonts w:cstheme="minorHAnsi"/>
          <w:sz w:val="22"/>
          <w:szCs w:val="22"/>
        </w:rPr>
      </w:pPr>
      <w:r w:rsidRPr="00012B72">
        <w:rPr>
          <w:rFonts w:cstheme="minorHAnsi"/>
          <w:i/>
          <w:iCs/>
          <w:sz w:val="22"/>
          <w:szCs w:val="22"/>
        </w:rPr>
        <w:t>Mutual Funds and 529s.</w:t>
      </w:r>
      <w:r w:rsidRPr="00012B72">
        <w:rPr>
          <w:rFonts w:cstheme="minorHAnsi"/>
          <w:sz w:val="22"/>
          <w:szCs w:val="22"/>
        </w:rPr>
        <w:t xml:space="preserve"> The ongoing payment depends on the class of shares but is typically between 0.25% and 1% of assets annually.</w:t>
      </w:r>
    </w:p>
    <w:p w14:paraId="4B0E2002" w14:textId="77777777" w:rsidR="006F4572" w:rsidRPr="00012B72" w:rsidRDefault="006F4572" w:rsidP="007E4833">
      <w:pPr>
        <w:jc w:val="both"/>
        <w:rPr>
          <w:rFonts w:cstheme="minorHAnsi"/>
          <w:sz w:val="22"/>
          <w:szCs w:val="22"/>
        </w:rPr>
      </w:pPr>
    </w:p>
    <w:p w14:paraId="698AB169" w14:textId="39DA1508" w:rsidR="00BB5817" w:rsidRPr="007E4833" w:rsidRDefault="00BB5817" w:rsidP="007E4833">
      <w:pPr>
        <w:pStyle w:val="ListParagraph"/>
        <w:numPr>
          <w:ilvl w:val="0"/>
          <w:numId w:val="2"/>
        </w:numPr>
        <w:jc w:val="both"/>
        <w:rPr>
          <w:rFonts w:cstheme="minorHAnsi"/>
          <w:sz w:val="22"/>
          <w:szCs w:val="22"/>
        </w:rPr>
      </w:pPr>
      <w:r w:rsidRPr="00012B72">
        <w:rPr>
          <w:rFonts w:cstheme="minorHAnsi"/>
          <w:i/>
          <w:iCs/>
          <w:sz w:val="22"/>
          <w:szCs w:val="22"/>
        </w:rPr>
        <w:t>Alternative Investments</w:t>
      </w:r>
      <w:r w:rsidRPr="00012B72">
        <w:rPr>
          <w:rFonts w:cstheme="minorHAnsi"/>
          <w:b/>
          <w:bCs/>
          <w:sz w:val="22"/>
          <w:szCs w:val="22"/>
        </w:rPr>
        <w:t>.</w:t>
      </w:r>
      <w:r w:rsidRPr="00012B72">
        <w:rPr>
          <w:rFonts w:cstheme="minorHAnsi"/>
          <w:sz w:val="22"/>
          <w:szCs w:val="22"/>
        </w:rPr>
        <w:t xml:space="preserve"> For alternative investment products, </w:t>
      </w:r>
      <w:r w:rsidR="006F4572" w:rsidRPr="00012B72">
        <w:rPr>
          <w:rFonts w:cstheme="minorHAnsi"/>
          <w:sz w:val="22"/>
          <w:szCs w:val="22"/>
        </w:rPr>
        <w:t xml:space="preserve">such as </w:t>
      </w:r>
      <w:r w:rsidR="00D4304A" w:rsidRPr="00012B72">
        <w:rPr>
          <w:rFonts w:cstheme="minorHAnsi"/>
          <w:sz w:val="22"/>
          <w:szCs w:val="22"/>
        </w:rPr>
        <w:t>non-traded REITs, trail payments are typically 1% or less</w:t>
      </w:r>
      <w:r w:rsidR="00280501" w:rsidRPr="00012B72">
        <w:rPr>
          <w:rFonts w:cstheme="minorHAnsi"/>
          <w:sz w:val="22"/>
          <w:szCs w:val="22"/>
        </w:rPr>
        <w:t>, but can be as high as 1.25% on</w:t>
      </w:r>
      <w:r w:rsidR="00280501" w:rsidRPr="007E4833">
        <w:rPr>
          <w:rFonts w:cstheme="minorHAnsi"/>
          <w:sz w:val="22"/>
          <w:szCs w:val="22"/>
        </w:rPr>
        <w:t xml:space="preserve"> an annual basis</w:t>
      </w:r>
      <w:r w:rsidR="00D4304A" w:rsidRPr="007E4833">
        <w:rPr>
          <w:rFonts w:cstheme="minorHAnsi"/>
          <w:sz w:val="22"/>
          <w:szCs w:val="22"/>
        </w:rPr>
        <w:t>.</w:t>
      </w:r>
    </w:p>
    <w:p w14:paraId="76024B67" w14:textId="77777777" w:rsidR="006F4572" w:rsidRPr="007E4833" w:rsidRDefault="006F4572" w:rsidP="007E4833">
      <w:pPr>
        <w:jc w:val="both"/>
        <w:rPr>
          <w:rFonts w:cstheme="minorHAnsi"/>
          <w:sz w:val="22"/>
          <w:szCs w:val="22"/>
        </w:rPr>
      </w:pPr>
    </w:p>
    <w:p w14:paraId="46FD0EA8" w14:textId="59EE8C45" w:rsidR="00BB5817" w:rsidRPr="007E4833" w:rsidRDefault="00BB5817" w:rsidP="007E4833">
      <w:pPr>
        <w:pStyle w:val="Heading2"/>
        <w:jc w:val="both"/>
        <w:rPr>
          <w:rFonts w:asciiTheme="minorHAnsi" w:hAnsiTheme="minorHAnsi" w:cstheme="minorHAnsi"/>
        </w:rPr>
      </w:pPr>
      <w:bookmarkStart w:id="8" w:name="_Toc453503811"/>
      <w:r w:rsidRPr="007E4833">
        <w:rPr>
          <w:rFonts w:asciiTheme="minorHAnsi" w:hAnsiTheme="minorHAnsi" w:cstheme="minorHAnsi"/>
        </w:rPr>
        <w:t>Non-Cash Compensation</w:t>
      </w:r>
      <w:bookmarkEnd w:id="8"/>
    </w:p>
    <w:p w14:paraId="2F880BDC" w14:textId="77777777" w:rsidR="006F4572" w:rsidRPr="007E4833" w:rsidRDefault="006F4572" w:rsidP="007E4833">
      <w:pPr>
        <w:jc w:val="both"/>
        <w:rPr>
          <w:rFonts w:cstheme="minorHAnsi"/>
          <w:b/>
          <w:bCs/>
          <w:sz w:val="20"/>
          <w:szCs w:val="20"/>
        </w:rPr>
      </w:pPr>
    </w:p>
    <w:p w14:paraId="7528263C" w14:textId="4A1E47E5" w:rsidR="00BB5817" w:rsidRPr="007E4833" w:rsidRDefault="009C2F50" w:rsidP="007E4833">
      <w:pPr>
        <w:jc w:val="both"/>
        <w:rPr>
          <w:rFonts w:cstheme="minorHAnsi"/>
          <w:sz w:val="22"/>
          <w:szCs w:val="22"/>
        </w:rPr>
      </w:pPr>
      <w:r w:rsidRPr="007E4833">
        <w:rPr>
          <w:rFonts w:cstheme="minorHAnsi"/>
          <w:sz w:val="22"/>
          <w:szCs w:val="22"/>
        </w:rPr>
        <w:t>BSL</w:t>
      </w:r>
      <w:r w:rsidR="00050F8E" w:rsidRPr="007E4833">
        <w:rPr>
          <w:rFonts w:cstheme="minorHAnsi"/>
          <w:sz w:val="22"/>
          <w:szCs w:val="22"/>
        </w:rPr>
        <w:t xml:space="preserve"> and our</w:t>
      </w:r>
      <w:r w:rsidR="00BB5817" w:rsidRPr="007E4833">
        <w:rPr>
          <w:rFonts w:cstheme="minorHAnsi"/>
          <w:sz w:val="22"/>
          <w:szCs w:val="22"/>
        </w:rPr>
        <w:t xml:space="preserve"> financial professionals </w:t>
      </w:r>
      <w:r w:rsidR="001372B3">
        <w:rPr>
          <w:rFonts w:cstheme="minorHAnsi"/>
          <w:sz w:val="22"/>
          <w:szCs w:val="22"/>
        </w:rPr>
        <w:t xml:space="preserve">may </w:t>
      </w:r>
      <w:r w:rsidR="00BB5817" w:rsidRPr="007E4833">
        <w:rPr>
          <w:rFonts w:cstheme="minorHAnsi"/>
          <w:sz w:val="22"/>
          <w:szCs w:val="22"/>
        </w:rPr>
        <w:t>receive non-cash compensation from investment sponsors that is not in connection with any particular customer or investment. Compensation includes such items as gifts valued at less than $100 annu</w:t>
      </w:r>
      <w:r w:rsidR="00B56B2B" w:rsidRPr="007E4833">
        <w:rPr>
          <w:rFonts w:cstheme="minorHAnsi"/>
          <w:sz w:val="22"/>
          <w:szCs w:val="22"/>
        </w:rPr>
        <w:t>a</w:t>
      </w:r>
      <w:r w:rsidR="00BB5817" w:rsidRPr="007E4833">
        <w:rPr>
          <w:rFonts w:cstheme="minorHAnsi"/>
          <w:sz w:val="22"/>
          <w:szCs w:val="22"/>
        </w:rPr>
        <w:t>lly, an occasional dinner or ticket to a sporting event, or reimbursement</w:t>
      </w:r>
      <w:r w:rsidR="00A258CC" w:rsidRPr="007E4833">
        <w:rPr>
          <w:rFonts w:cstheme="minorHAnsi"/>
          <w:sz w:val="22"/>
          <w:szCs w:val="22"/>
        </w:rPr>
        <w:t xml:space="preserve"> for expenses</w:t>
      </w:r>
      <w:r w:rsidR="00BB5817" w:rsidRPr="007E4833">
        <w:rPr>
          <w:rFonts w:cstheme="minorHAnsi"/>
          <w:sz w:val="22"/>
          <w:szCs w:val="22"/>
        </w:rPr>
        <w:t xml:space="preserve"> in connection with educational meetings, customer workshops or events, or marketing or advertising initiatives, </w:t>
      </w:r>
      <w:r w:rsidR="009D2581" w:rsidRPr="007E4833">
        <w:rPr>
          <w:rFonts w:cstheme="minorHAnsi"/>
          <w:sz w:val="22"/>
          <w:szCs w:val="22"/>
        </w:rPr>
        <w:t>including services</w:t>
      </w:r>
      <w:r w:rsidR="00BB5817" w:rsidRPr="007E4833">
        <w:rPr>
          <w:rFonts w:cstheme="minorHAnsi"/>
          <w:sz w:val="22"/>
          <w:szCs w:val="22"/>
        </w:rPr>
        <w:t xml:space="preserve"> </w:t>
      </w:r>
      <w:r w:rsidR="009D2581" w:rsidRPr="007E4833">
        <w:rPr>
          <w:rFonts w:cstheme="minorHAnsi"/>
          <w:sz w:val="22"/>
          <w:szCs w:val="22"/>
        </w:rPr>
        <w:t>for identifying prospective</w:t>
      </w:r>
      <w:r w:rsidR="00BB5817" w:rsidRPr="007E4833">
        <w:rPr>
          <w:rFonts w:cstheme="minorHAnsi"/>
          <w:sz w:val="22"/>
          <w:szCs w:val="22"/>
        </w:rPr>
        <w:t xml:space="preserve"> customers.  Investment </w:t>
      </w:r>
      <w:r w:rsidR="009D2581" w:rsidRPr="007E4833">
        <w:rPr>
          <w:rFonts w:cstheme="minorHAnsi"/>
          <w:sz w:val="22"/>
          <w:szCs w:val="22"/>
        </w:rPr>
        <w:t>sponsors also</w:t>
      </w:r>
      <w:r w:rsidR="00BB5817" w:rsidRPr="007E4833">
        <w:rPr>
          <w:rFonts w:cstheme="minorHAnsi"/>
          <w:sz w:val="22"/>
          <w:szCs w:val="22"/>
        </w:rPr>
        <w:t xml:space="preserve"> </w:t>
      </w:r>
      <w:r w:rsidR="009D2581" w:rsidRPr="007E4833">
        <w:rPr>
          <w:rFonts w:cstheme="minorHAnsi"/>
          <w:sz w:val="22"/>
          <w:szCs w:val="22"/>
        </w:rPr>
        <w:t xml:space="preserve">pay or reimburse </w:t>
      </w:r>
      <w:r w:rsidRPr="007E4833">
        <w:rPr>
          <w:rFonts w:cstheme="minorHAnsi"/>
          <w:sz w:val="22"/>
          <w:szCs w:val="22"/>
        </w:rPr>
        <w:t>BSL</w:t>
      </w:r>
      <w:r w:rsidR="00BB5817" w:rsidRPr="007E4833">
        <w:rPr>
          <w:rFonts w:cstheme="minorHAnsi"/>
          <w:sz w:val="22"/>
          <w:szCs w:val="22"/>
        </w:rPr>
        <w:t xml:space="preserve"> and/or </w:t>
      </w:r>
      <w:r w:rsidR="00050F8E" w:rsidRPr="007E4833">
        <w:rPr>
          <w:rFonts w:cstheme="minorHAnsi"/>
          <w:sz w:val="22"/>
          <w:szCs w:val="22"/>
        </w:rPr>
        <w:t>our</w:t>
      </w:r>
      <w:r w:rsidR="00BB5817" w:rsidRPr="007E4833">
        <w:rPr>
          <w:rFonts w:cstheme="minorHAnsi"/>
          <w:sz w:val="22"/>
          <w:szCs w:val="22"/>
        </w:rPr>
        <w:t xml:space="preserve"> finan</w:t>
      </w:r>
      <w:r w:rsidR="00B56B2B" w:rsidRPr="007E4833">
        <w:rPr>
          <w:rFonts w:cstheme="minorHAnsi"/>
          <w:sz w:val="22"/>
          <w:szCs w:val="22"/>
        </w:rPr>
        <w:t>c</w:t>
      </w:r>
      <w:r w:rsidR="00BB5817" w:rsidRPr="007E4833">
        <w:rPr>
          <w:rFonts w:cstheme="minorHAnsi"/>
          <w:sz w:val="22"/>
          <w:szCs w:val="22"/>
        </w:rPr>
        <w:t xml:space="preserve">ial </w:t>
      </w:r>
      <w:r w:rsidR="009D2581" w:rsidRPr="007E4833">
        <w:rPr>
          <w:rFonts w:cstheme="minorHAnsi"/>
          <w:sz w:val="22"/>
          <w:szCs w:val="22"/>
        </w:rPr>
        <w:t>professionals,</w:t>
      </w:r>
      <w:r w:rsidR="00BB5817" w:rsidRPr="007E4833">
        <w:rPr>
          <w:rFonts w:cstheme="minorHAnsi"/>
          <w:sz w:val="22"/>
          <w:szCs w:val="22"/>
        </w:rPr>
        <w:t xml:space="preserve"> for the costs associated with education or training events that may be attended by </w:t>
      </w:r>
      <w:r w:rsidRPr="007E4833">
        <w:rPr>
          <w:rFonts w:cstheme="minorHAnsi"/>
          <w:sz w:val="22"/>
          <w:szCs w:val="22"/>
        </w:rPr>
        <w:t>BSL</w:t>
      </w:r>
      <w:r w:rsidR="00BB5817" w:rsidRPr="007E4833">
        <w:rPr>
          <w:rFonts w:cstheme="minorHAnsi"/>
          <w:sz w:val="22"/>
          <w:szCs w:val="22"/>
        </w:rPr>
        <w:t xml:space="preserve"> e</w:t>
      </w:r>
      <w:r w:rsidR="0073460E" w:rsidRPr="007E4833">
        <w:rPr>
          <w:rFonts w:cstheme="minorHAnsi"/>
          <w:sz w:val="22"/>
          <w:szCs w:val="22"/>
        </w:rPr>
        <w:t>mployees</w:t>
      </w:r>
      <w:r w:rsidR="00BB5817" w:rsidRPr="007E4833">
        <w:rPr>
          <w:rFonts w:cstheme="minorHAnsi"/>
          <w:sz w:val="22"/>
          <w:szCs w:val="22"/>
        </w:rPr>
        <w:t xml:space="preserve"> and financial professionals and for </w:t>
      </w:r>
      <w:r w:rsidRPr="007E4833">
        <w:rPr>
          <w:rFonts w:cstheme="minorHAnsi"/>
          <w:sz w:val="22"/>
          <w:szCs w:val="22"/>
        </w:rPr>
        <w:t>BSL</w:t>
      </w:r>
      <w:r w:rsidR="00BB5817" w:rsidRPr="007E4833">
        <w:rPr>
          <w:rFonts w:cstheme="minorHAnsi"/>
          <w:sz w:val="22"/>
          <w:szCs w:val="22"/>
        </w:rPr>
        <w:t xml:space="preserve"> sponsored conferences and events.</w:t>
      </w:r>
    </w:p>
    <w:p w14:paraId="33FE48BE" w14:textId="1165889A" w:rsidR="006F4572" w:rsidRPr="007E4833" w:rsidRDefault="00BB5817" w:rsidP="007E4833">
      <w:pPr>
        <w:pStyle w:val="Heading2"/>
        <w:jc w:val="both"/>
        <w:rPr>
          <w:rFonts w:asciiTheme="minorHAnsi" w:hAnsiTheme="minorHAnsi" w:cstheme="minorHAnsi"/>
        </w:rPr>
      </w:pPr>
      <w:bookmarkStart w:id="9" w:name="_Toc453503812"/>
      <w:r w:rsidRPr="007E4833">
        <w:rPr>
          <w:rFonts w:asciiTheme="minorHAnsi" w:hAnsiTheme="minorHAnsi" w:cstheme="minorHAnsi"/>
        </w:rPr>
        <w:lastRenderedPageBreak/>
        <w:t xml:space="preserve">Third Party Compensation Retained by </w:t>
      </w:r>
      <w:bookmarkEnd w:id="9"/>
      <w:r w:rsidR="009C2F50" w:rsidRPr="007E4833">
        <w:rPr>
          <w:rFonts w:asciiTheme="minorHAnsi" w:hAnsiTheme="minorHAnsi" w:cstheme="minorHAnsi"/>
        </w:rPr>
        <w:t>BSL</w:t>
      </w:r>
      <w:r w:rsidRPr="007E4833">
        <w:rPr>
          <w:rFonts w:asciiTheme="minorHAnsi" w:hAnsiTheme="minorHAnsi" w:cstheme="minorHAnsi"/>
        </w:rPr>
        <w:t xml:space="preserve"> </w:t>
      </w:r>
    </w:p>
    <w:p w14:paraId="5D14F108" w14:textId="70520DD5" w:rsidR="006F4572" w:rsidRPr="007E4833" w:rsidRDefault="006F4572" w:rsidP="007E4833">
      <w:pPr>
        <w:jc w:val="both"/>
        <w:rPr>
          <w:rFonts w:cstheme="minorHAnsi"/>
          <w:b/>
          <w:bCs/>
          <w:sz w:val="20"/>
          <w:szCs w:val="20"/>
          <w:u w:val="single"/>
        </w:rPr>
      </w:pPr>
    </w:p>
    <w:p w14:paraId="6DFA8997" w14:textId="3F7D593F" w:rsidR="00050F8E" w:rsidRPr="007E4833" w:rsidRDefault="00050F8E" w:rsidP="007E4833">
      <w:pPr>
        <w:jc w:val="both"/>
        <w:rPr>
          <w:rFonts w:cstheme="minorHAnsi"/>
          <w:sz w:val="20"/>
          <w:szCs w:val="20"/>
        </w:rPr>
      </w:pPr>
    </w:p>
    <w:p w14:paraId="6B6DF1B7" w14:textId="4556B0AD" w:rsidR="00CD07B0" w:rsidRPr="007E4833" w:rsidRDefault="00050F8E" w:rsidP="007E4833">
      <w:pPr>
        <w:jc w:val="both"/>
        <w:rPr>
          <w:rFonts w:cstheme="minorHAnsi"/>
          <w:sz w:val="22"/>
          <w:szCs w:val="22"/>
        </w:rPr>
      </w:pPr>
      <w:r w:rsidRPr="007E4833">
        <w:rPr>
          <w:rFonts w:cstheme="minorHAnsi"/>
          <w:sz w:val="22"/>
          <w:szCs w:val="22"/>
        </w:rPr>
        <w:t xml:space="preserve">When </w:t>
      </w:r>
      <w:r w:rsidR="005853B6" w:rsidRPr="007E4833">
        <w:rPr>
          <w:rFonts w:cstheme="minorHAnsi"/>
          <w:sz w:val="22"/>
          <w:szCs w:val="22"/>
        </w:rPr>
        <w:t xml:space="preserve">Vision Financial Markets </w:t>
      </w:r>
      <w:r w:rsidRPr="007E4833">
        <w:rPr>
          <w:rFonts w:cstheme="minorHAnsi"/>
          <w:sz w:val="22"/>
          <w:szCs w:val="22"/>
        </w:rPr>
        <w:t xml:space="preserve">is the custodian of your account, </w:t>
      </w:r>
      <w:r w:rsidR="005853B6" w:rsidRPr="007E4833">
        <w:rPr>
          <w:rFonts w:cstheme="minorHAnsi"/>
          <w:sz w:val="22"/>
          <w:szCs w:val="22"/>
        </w:rPr>
        <w:t>Vision Financial Markets</w:t>
      </w:r>
      <w:r w:rsidR="005853B6" w:rsidRPr="007E4833" w:rsidDel="005853B6">
        <w:rPr>
          <w:rFonts w:cstheme="minorHAnsi"/>
          <w:sz w:val="22"/>
          <w:szCs w:val="22"/>
        </w:rPr>
        <w:t xml:space="preserve"> </w:t>
      </w:r>
      <w:r w:rsidRPr="007E4833">
        <w:rPr>
          <w:rFonts w:cstheme="minorHAnsi"/>
          <w:sz w:val="22"/>
          <w:szCs w:val="22"/>
        </w:rPr>
        <w:t xml:space="preserve">automatically moves (sweeps) the cash in your account into money market funds and/or FDIC insured bank deposit accounts. </w:t>
      </w:r>
      <w:r w:rsidR="005853B6" w:rsidRPr="007E4833">
        <w:rPr>
          <w:rFonts w:cstheme="minorHAnsi"/>
        </w:rPr>
        <w:t xml:space="preserve"> </w:t>
      </w:r>
      <w:r w:rsidR="005853B6" w:rsidRPr="007E4833">
        <w:rPr>
          <w:rFonts w:cstheme="minorHAnsi"/>
          <w:sz w:val="22"/>
          <w:szCs w:val="22"/>
        </w:rPr>
        <w:t>Vision Financial Markets</w:t>
      </w:r>
      <w:r w:rsidR="005853B6" w:rsidRPr="007E4833" w:rsidDel="005853B6">
        <w:rPr>
          <w:rFonts w:cstheme="minorHAnsi"/>
          <w:sz w:val="22"/>
          <w:szCs w:val="22"/>
        </w:rPr>
        <w:t xml:space="preserve"> </w:t>
      </w:r>
      <w:r w:rsidR="002B5BA6" w:rsidRPr="007E4833">
        <w:rPr>
          <w:rFonts w:cstheme="minorHAnsi"/>
          <w:sz w:val="22"/>
          <w:szCs w:val="22"/>
        </w:rPr>
        <w:t xml:space="preserve">offers a list of available options for the money market funds and </w:t>
      </w:r>
      <w:r w:rsidR="009C2F50" w:rsidRPr="007E4833">
        <w:rPr>
          <w:rFonts w:cstheme="minorHAnsi"/>
          <w:sz w:val="22"/>
          <w:szCs w:val="22"/>
        </w:rPr>
        <w:t>BSL</w:t>
      </w:r>
      <w:r w:rsidR="002B5BA6" w:rsidRPr="007E4833">
        <w:rPr>
          <w:rFonts w:cstheme="minorHAnsi"/>
          <w:sz w:val="22"/>
          <w:szCs w:val="22"/>
        </w:rPr>
        <w:t xml:space="preserve"> selects from the </w:t>
      </w:r>
      <w:r w:rsidR="002B5BA6" w:rsidRPr="00012B72">
        <w:rPr>
          <w:rFonts w:cstheme="minorHAnsi"/>
          <w:sz w:val="22"/>
          <w:szCs w:val="22"/>
        </w:rPr>
        <w:t>list</w:t>
      </w:r>
      <w:r w:rsidR="00012B72" w:rsidRPr="00012B72">
        <w:rPr>
          <w:rFonts w:cstheme="minorHAnsi"/>
          <w:sz w:val="22"/>
          <w:szCs w:val="22"/>
        </w:rPr>
        <w:t xml:space="preserve"> </w:t>
      </w:r>
      <w:r w:rsidR="002B5BA6" w:rsidRPr="00012B72">
        <w:rPr>
          <w:rFonts w:cstheme="minorHAnsi"/>
          <w:sz w:val="22"/>
          <w:szCs w:val="22"/>
        </w:rPr>
        <w:t>available</w:t>
      </w:r>
      <w:r w:rsidR="00012B72">
        <w:rPr>
          <w:rFonts w:cstheme="minorHAnsi"/>
          <w:sz w:val="22"/>
          <w:szCs w:val="22"/>
        </w:rPr>
        <w:t>.</w:t>
      </w:r>
      <w:r w:rsidR="002B5BA6" w:rsidRPr="007E4833">
        <w:rPr>
          <w:rFonts w:cstheme="minorHAnsi"/>
          <w:sz w:val="22"/>
          <w:szCs w:val="22"/>
        </w:rPr>
        <w:t xml:space="preserve"> </w:t>
      </w:r>
      <w:r w:rsidRPr="007E4833">
        <w:rPr>
          <w:rFonts w:cstheme="minorHAnsi"/>
          <w:sz w:val="22"/>
          <w:szCs w:val="22"/>
        </w:rPr>
        <w:t>You and your financial professional select the money market fund or bank deposit account</w:t>
      </w:r>
      <w:r w:rsidR="002B5BA6" w:rsidRPr="007E4833">
        <w:rPr>
          <w:rFonts w:cstheme="minorHAnsi"/>
          <w:sz w:val="22"/>
          <w:szCs w:val="22"/>
        </w:rPr>
        <w:t xml:space="preserve"> from the choices available after </w:t>
      </w:r>
      <w:r w:rsidR="009C2F50" w:rsidRPr="007E4833">
        <w:rPr>
          <w:rFonts w:cstheme="minorHAnsi"/>
          <w:sz w:val="22"/>
          <w:szCs w:val="22"/>
        </w:rPr>
        <w:t>BSL</w:t>
      </w:r>
      <w:r w:rsidR="002B5BA6" w:rsidRPr="007E4833">
        <w:rPr>
          <w:rFonts w:cstheme="minorHAnsi"/>
          <w:sz w:val="22"/>
          <w:szCs w:val="22"/>
        </w:rPr>
        <w:t xml:space="preserve"> selects the funds</w:t>
      </w:r>
      <w:r w:rsidRPr="007E4833">
        <w:rPr>
          <w:rFonts w:cstheme="minorHAnsi"/>
          <w:sz w:val="22"/>
          <w:szCs w:val="22"/>
        </w:rPr>
        <w:t xml:space="preserve">.  </w:t>
      </w:r>
      <w:r w:rsidR="005853B6" w:rsidRPr="007E4833">
        <w:rPr>
          <w:rFonts w:cstheme="minorHAnsi"/>
          <w:sz w:val="22"/>
          <w:szCs w:val="22"/>
        </w:rPr>
        <w:t>Vision Financial Markets</w:t>
      </w:r>
      <w:r w:rsidR="005853B6" w:rsidRPr="007E4833" w:rsidDel="005853B6">
        <w:rPr>
          <w:rFonts w:cstheme="minorHAnsi"/>
          <w:sz w:val="22"/>
          <w:szCs w:val="22"/>
        </w:rPr>
        <w:t xml:space="preserve"> </w:t>
      </w:r>
      <w:r w:rsidRPr="007E4833">
        <w:rPr>
          <w:rFonts w:cstheme="minorHAnsi"/>
          <w:sz w:val="22"/>
          <w:szCs w:val="22"/>
        </w:rPr>
        <w:t xml:space="preserve">retains some of the interest paid on the bank deposit account or shareholder servicing fees paid on the money market </w:t>
      </w:r>
      <w:r w:rsidR="00893044" w:rsidRPr="007E4833">
        <w:rPr>
          <w:rFonts w:cstheme="minorHAnsi"/>
          <w:sz w:val="22"/>
          <w:szCs w:val="22"/>
        </w:rPr>
        <w:t>fund and</w:t>
      </w:r>
      <w:r w:rsidRPr="007E4833">
        <w:rPr>
          <w:rFonts w:cstheme="minorHAnsi"/>
          <w:sz w:val="22"/>
          <w:szCs w:val="22"/>
        </w:rPr>
        <w:t xml:space="preserve"> pays a portion of that to </w:t>
      </w:r>
      <w:r w:rsidR="009C2F50" w:rsidRPr="007E4833">
        <w:rPr>
          <w:rFonts w:cstheme="minorHAnsi"/>
          <w:sz w:val="22"/>
          <w:szCs w:val="22"/>
        </w:rPr>
        <w:t>BSL</w:t>
      </w:r>
      <w:r w:rsidRPr="007E4833">
        <w:rPr>
          <w:rFonts w:cstheme="minorHAnsi"/>
          <w:sz w:val="22"/>
          <w:szCs w:val="22"/>
        </w:rPr>
        <w:t xml:space="preserve">. These payments to </w:t>
      </w:r>
      <w:r w:rsidR="009C2F50" w:rsidRPr="007E4833">
        <w:rPr>
          <w:rFonts w:cstheme="minorHAnsi"/>
          <w:sz w:val="22"/>
          <w:szCs w:val="22"/>
        </w:rPr>
        <w:t>BSL</w:t>
      </w:r>
      <w:r w:rsidRPr="007E4833">
        <w:rPr>
          <w:rFonts w:cstheme="minorHAnsi"/>
          <w:sz w:val="22"/>
          <w:szCs w:val="22"/>
        </w:rPr>
        <w:t xml:space="preserve"> are called “distribution assistance” and they vary based on the bank deposit account or money market fund you select.  </w:t>
      </w:r>
      <w:r w:rsidR="009C2F50" w:rsidRPr="007E4833">
        <w:rPr>
          <w:rFonts w:cstheme="minorHAnsi"/>
          <w:sz w:val="22"/>
          <w:szCs w:val="22"/>
        </w:rPr>
        <w:t>BSL</w:t>
      </w:r>
      <w:r w:rsidRPr="007E4833">
        <w:rPr>
          <w:rFonts w:cstheme="minorHAnsi"/>
          <w:sz w:val="22"/>
          <w:szCs w:val="22"/>
        </w:rPr>
        <w:t xml:space="preserve"> does not determine the interest rates paid on bank deposit accounts or shareholder servicing fees paid on money market funds, or the amount or percentage of distribution payments that it will receive.  </w:t>
      </w:r>
      <w:r w:rsidR="002B5BA6" w:rsidRPr="007E4833">
        <w:rPr>
          <w:rFonts w:cstheme="minorHAnsi"/>
          <w:sz w:val="22"/>
          <w:szCs w:val="22"/>
        </w:rPr>
        <w:t xml:space="preserve">However, </w:t>
      </w:r>
      <w:r w:rsidR="009C2F50" w:rsidRPr="007E4833">
        <w:rPr>
          <w:rFonts w:cstheme="minorHAnsi"/>
          <w:sz w:val="22"/>
          <w:szCs w:val="22"/>
        </w:rPr>
        <w:t>BSL</w:t>
      </w:r>
      <w:r w:rsidR="002B5BA6" w:rsidRPr="007E4833">
        <w:rPr>
          <w:rFonts w:cstheme="minorHAnsi"/>
          <w:sz w:val="22"/>
          <w:szCs w:val="22"/>
        </w:rPr>
        <w:t xml:space="preserve"> </w:t>
      </w:r>
      <w:r w:rsidR="00CD07B0" w:rsidRPr="007E4833">
        <w:rPr>
          <w:rFonts w:cstheme="minorHAnsi"/>
          <w:sz w:val="22"/>
          <w:szCs w:val="22"/>
        </w:rPr>
        <w:t>does</w:t>
      </w:r>
      <w:r w:rsidR="002B5BA6" w:rsidRPr="007E4833">
        <w:rPr>
          <w:rFonts w:cstheme="minorHAnsi"/>
          <w:sz w:val="22"/>
          <w:szCs w:val="22"/>
        </w:rPr>
        <w:t xml:space="preserve"> select the money funds based on interest sharing, which is incentive for </w:t>
      </w:r>
      <w:r w:rsidR="009C2F50" w:rsidRPr="007E4833">
        <w:rPr>
          <w:rFonts w:cstheme="minorHAnsi"/>
          <w:sz w:val="22"/>
          <w:szCs w:val="22"/>
        </w:rPr>
        <w:t>BSL</w:t>
      </w:r>
      <w:r w:rsidR="002B5BA6" w:rsidRPr="007E4833">
        <w:rPr>
          <w:rFonts w:cstheme="minorHAnsi"/>
          <w:sz w:val="22"/>
          <w:szCs w:val="22"/>
        </w:rPr>
        <w:t xml:space="preserve"> to select a fund or funds that pay higher revenue share to </w:t>
      </w:r>
      <w:r w:rsidR="009C2F50" w:rsidRPr="007E4833">
        <w:rPr>
          <w:rFonts w:cstheme="minorHAnsi"/>
          <w:sz w:val="22"/>
          <w:szCs w:val="22"/>
        </w:rPr>
        <w:t>BSL</w:t>
      </w:r>
      <w:r w:rsidR="002B5BA6" w:rsidRPr="007E4833">
        <w:rPr>
          <w:rFonts w:cstheme="minorHAnsi"/>
          <w:sz w:val="22"/>
          <w:szCs w:val="22"/>
        </w:rPr>
        <w:t xml:space="preserve">. </w:t>
      </w:r>
      <w:r w:rsidR="00CD07B0" w:rsidRPr="007E4833">
        <w:rPr>
          <w:rFonts w:cstheme="minorHAnsi"/>
          <w:sz w:val="22"/>
          <w:szCs w:val="22"/>
        </w:rPr>
        <w:t xml:space="preserve">We do not share distribution assistance payments with our financial professionals.  </w:t>
      </w:r>
    </w:p>
    <w:p w14:paraId="051DF88E" w14:textId="77777777" w:rsidR="00050F8E" w:rsidRPr="007E4833" w:rsidRDefault="00050F8E" w:rsidP="007E4833">
      <w:pPr>
        <w:jc w:val="both"/>
        <w:rPr>
          <w:rFonts w:cstheme="minorHAnsi"/>
          <w:sz w:val="22"/>
          <w:szCs w:val="22"/>
        </w:rPr>
      </w:pPr>
    </w:p>
    <w:p w14:paraId="4E9EF90A" w14:textId="5FAC3077" w:rsidR="00846A2D" w:rsidRPr="007E4833" w:rsidRDefault="005853B6" w:rsidP="007E4833">
      <w:pPr>
        <w:jc w:val="both"/>
        <w:rPr>
          <w:rFonts w:cstheme="minorHAnsi"/>
          <w:sz w:val="22"/>
          <w:szCs w:val="22"/>
        </w:rPr>
      </w:pPr>
      <w:r w:rsidRPr="007E4833">
        <w:rPr>
          <w:rFonts w:cstheme="minorHAnsi"/>
          <w:sz w:val="22"/>
          <w:szCs w:val="22"/>
        </w:rPr>
        <w:t>Vision Financial Markets</w:t>
      </w:r>
      <w:r w:rsidRPr="007E4833" w:rsidDel="005853B6">
        <w:rPr>
          <w:rFonts w:cstheme="minorHAnsi"/>
          <w:sz w:val="22"/>
          <w:szCs w:val="22"/>
        </w:rPr>
        <w:t xml:space="preserve"> </w:t>
      </w:r>
      <w:r w:rsidR="00846A2D" w:rsidRPr="007E4833">
        <w:rPr>
          <w:rFonts w:cstheme="minorHAnsi"/>
          <w:sz w:val="22"/>
          <w:szCs w:val="22"/>
        </w:rPr>
        <w:t xml:space="preserve">also </w:t>
      </w:r>
      <w:r w:rsidR="001372B3">
        <w:rPr>
          <w:rFonts w:cstheme="minorHAnsi"/>
          <w:sz w:val="22"/>
          <w:szCs w:val="22"/>
        </w:rPr>
        <w:t>charges</w:t>
      </w:r>
      <w:r w:rsidR="001372B3" w:rsidRPr="007E4833">
        <w:rPr>
          <w:rFonts w:cstheme="minorHAnsi"/>
          <w:sz w:val="22"/>
          <w:szCs w:val="22"/>
        </w:rPr>
        <w:t xml:space="preserve"> </w:t>
      </w:r>
      <w:r w:rsidR="00846A2D" w:rsidRPr="007E4833">
        <w:rPr>
          <w:rFonts w:cstheme="minorHAnsi"/>
          <w:sz w:val="22"/>
          <w:szCs w:val="22"/>
        </w:rPr>
        <w:t xml:space="preserve">fees to </w:t>
      </w:r>
      <w:r w:rsidR="009C2F50" w:rsidRPr="007E4833">
        <w:rPr>
          <w:rFonts w:cstheme="minorHAnsi"/>
          <w:sz w:val="22"/>
          <w:szCs w:val="22"/>
        </w:rPr>
        <w:t>BSL</w:t>
      </w:r>
      <w:r w:rsidR="00846A2D" w:rsidRPr="007E4833">
        <w:rPr>
          <w:rFonts w:cstheme="minorHAnsi"/>
          <w:sz w:val="22"/>
          <w:szCs w:val="22"/>
        </w:rPr>
        <w:t xml:space="preserve">, or shares fees it earns with </w:t>
      </w:r>
      <w:r w:rsidR="009C2F50" w:rsidRPr="007E4833">
        <w:rPr>
          <w:rFonts w:cstheme="minorHAnsi"/>
          <w:sz w:val="22"/>
          <w:szCs w:val="22"/>
        </w:rPr>
        <w:t>BSL</w:t>
      </w:r>
      <w:r w:rsidR="00846A2D" w:rsidRPr="007E4833">
        <w:rPr>
          <w:rFonts w:cstheme="minorHAnsi"/>
          <w:sz w:val="22"/>
          <w:szCs w:val="22"/>
        </w:rPr>
        <w:t xml:space="preserve">, for the following items: </w:t>
      </w:r>
    </w:p>
    <w:p w14:paraId="21BF73BA" w14:textId="65610B34" w:rsidR="00846A2D" w:rsidRPr="007E4833" w:rsidRDefault="00846A2D" w:rsidP="007E4833">
      <w:pPr>
        <w:jc w:val="both"/>
        <w:rPr>
          <w:rFonts w:cstheme="minorHAnsi"/>
          <w:sz w:val="22"/>
          <w:szCs w:val="22"/>
        </w:rPr>
      </w:pPr>
    </w:p>
    <w:p w14:paraId="71604983" w14:textId="77777777" w:rsidR="00022954" w:rsidRPr="007E4833" w:rsidRDefault="00022954" w:rsidP="007E4833">
      <w:pPr>
        <w:jc w:val="both"/>
        <w:rPr>
          <w:rFonts w:cstheme="minorHAnsi"/>
          <w:sz w:val="22"/>
          <w:szCs w:val="22"/>
        </w:rPr>
      </w:pPr>
    </w:p>
    <w:tbl>
      <w:tblPr>
        <w:tblW w:w="10160" w:type="dxa"/>
        <w:tblInd w:w="-3" w:type="dxa"/>
        <w:tblCellMar>
          <w:left w:w="0" w:type="dxa"/>
          <w:right w:w="0" w:type="dxa"/>
        </w:tblCellMar>
        <w:tblLook w:val="04A0" w:firstRow="1" w:lastRow="0" w:firstColumn="1" w:lastColumn="0" w:noHBand="0" w:noVBand="1"/>
      </w:tblPr>
      <w:tblGrid>
        <w:gridCol w:w="4720"/>
        <w:gridCol w:w="5440"/>
      </w:tblGrid>
      <w:tr w:rsidR="00022954" w:rsidRPr="007E4833" w14:paraId="1FEA03ED" w14:textId="77777777" w:rsidTr="001372B3">
        <w:trPr>
          <w:trHeight w:val="255"/>
        </w:trPr>
        <w:tc>
          <w:tcPr>
            <w:tcW w:w="4720" w:type="dxa"/>
            <w:tcBorders>
              <w:top w:val="single" w:sz="8" w:space="0" w:color="auto"/>
              <w:left w:val="single" w:sz="8" w:space="0" w:color="auto"/>
              <w:bottom w:val="single" w:sz="8" w:space="0" w:color="auto"/>
              <w:right w:val="single" w:sz="8" w:space="0" w:color="auto"/>
            </w:tcBorders>
            <w:shd w:val="clear" w:color="auto" w:fill="538DD5"/>
            <w:tcMar>
              <w:top w:w="0" w:type="dxa"/>
              <w:left w:w="108" w:type="dxa"/>
              <w:bottom w:w="0" w:type="dxa"/>
              <w:right w:w="108" w:type="dxa"/>
            </w:tcMar>
            <w:vAlign w:val="bottom"/>
            <w:hideMark/>
          </w:tcPr>
          <w:p w14:paraId="15F1236C" w14:textId="77777777" w:rsidR="00022954" w:rsidRPr="007E4833" w:rsidRDefault="00022954" w:rsidP="007E4833">
            <w:pPr>
              <w:jc w:val="both"/>
              <w:rPr>
                <w:rFonts w:cstheme="minorHAnsi"/>
                <w:b/>
                <w:bCs/>
                <w:sz w:val="16"/>
                <w:szCs w:val="16"/>
              </w:rPr>
            </w:pPr>
            <w:r w:rsidRPr="007E4833">
              <w:rPr>
                <w:rFonts w:cstheme="minorHAnsi"/>
                <w:b/>
                <w:bCs/>
                <w:sz w:val="16"/>
                <w:szCs w:val="16"/>
              </w:rPr>
              <w:t>IRA Fees</w:t>
            </w:r>
          </w:p>
        </w:tc>
        <w:tc>
          <w:tcPr>
            <w:tcW w:w="5440" w:type="dxa"/>
            <w:tcBorders>
              <w:top w:val="single" w:sz="8" w:space="0" w:color="auto"/>
              <w:left w:val="nil"/>
              <w:bottom w:val="single" w:sz="8" w:space="0" w:color="auto"/>
              <w:right w:val="single" w:sz="8" w:space="0" w:color="auto"/>
            </w:tcBorders>
            <w:shd w:val="clear" w:color="auto" w:fill="538DD5"/>
            <w:tcMar>
              <w:top w:w="0" w:type="dxa"/>
              <w:left w:w="108" w:type="dxa"/>
              <w:bottom w:w="0" w:type="dxa"/>
              <w:right w:w="108" w:type="dxa"/>
            </w:tcMar>
            <w:vAlign w:val="bottom"/>
            <w:hideMark/>
          </w:tcPr>
          <w:p w14:paraId="5EE8B163" w14:textId="77777777" w:rsidR="00022954" w:rsidRPr="007E4833" w:rsidRDefault="00022954" w:rsidP="007E4833">
            <w:pPr>
              <w:jc w:val="both"/>
              <w:rPr>
                <w:rFonts w:cstheme="minorHAnsi"/>
                <w:b/>
                <w:bCs/>
                <w:sz w:val="16"/>
                <w:szCs w:val="16"/>
              </w:rPr>
            </w:pPr>
            <w:r w:rsidRPr="007E4833">
              <w:rPr>
                <w:rFonts w:cstheme="minorHAnsi"/>
                <w:b/>
                <w:bCs/>
                <w:sz w:val="16"/>
                <w:szCs w:val="16"/>
              </w:rPr>
              <w:t> </w:t>
            </w:r>
          </w:p>
        </w:tc>
      </w:tr>
      <w:tr w:rsidR="00022954" w:rsidRPr="007E4833" w14:paraId="025BDEE4"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A55038" w14:textId="77777777" w:rsidR="00022954" w:rsidRPr="007E4833" w:rsidRDefault="00022954" w:rsidP="007E4833">
            <w:pPr>
              <w:jc w:val="both"/>
              <w:rPr>
                <w:rFonts w:cstheme="minorHAnsi"/>
                <w:sz w:val="16"/>
                <w:szCs w:val="16"/>
              </w:rPr>
            </w:pPr>
            <w:r w:rsidRPr="007E4833">
              <w:rPr>
                <w:rFonts w:cstheme="minorHAnsi"/>
                <w:sz w:val="16"/>
                <w:szCs w:val="16"/>
              </w:rPr>
              <w:t xml:space="preserve">Annual Custodial Fee/Strata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036C3B" w14:textId="77777777" w:rsidR="00022954" w:rsidRPr="007E4833" w:rsidRDefault="00022954" w:rsidP="007E4833">
            <w:pPr>
              <w:jc w:val="both"/>
              <w:rPr>
                <w:rFonts w:cstheme="minorHAnsi"/>
                <w:sz w:val="16"/>
                <w:szCs w:val="16"/>
              </w:rPr>
            </w:pPr>
            <w:r w:rsidRPr="007E4833">
              <w:rPr>
                <w:rFonts w:cstheme="minorHAnsi"/>
                <w:sz w:val="16"/>
                <w:szCs w:val="16"/>
              </w:rPr>
              <w:t>$75</w:t>
            </w:r>
          </w:p>
        </w:tc>
      </w:tr>
      <w:tr w:rsidR="00022954" w:rsidRPr="007E4833" w14:paraId="12CD7E0B"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8280EF" w14:textId="77777777" w:rsidR="00022954" w:rsidRPr="007E4833" w:rsidRDefault="00022954" w:rsidP="007E4833">
            <w:pPr>
              <w:jc w:val="both"/>
              <w:rPr>
                <w:rFonts w:cstheme="minorHAnsi"/>
                <w:sz w:val="16"/>
                <w:szCs w:val="16"/>
              </w:rPr>
            </w:pPr>
            <w:r w:rsidRPr="007E4833">
              <w:rPr>
                <w:rFonts w:cstheme="minorHAnsi"/>
                <w:sz w:val="16"/>
                <w:szCs w:val="16"/>
              </w:rPr>
              <w:t>Client distribution via check</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991BD5" w14:textId="77777777" w:rsidR="00022954" w:rsidRPr="007E4833" w:rsidRDefault="00022954" w:rsidP="007E4833">
            <w:pPr>
              <w:jc w:val="both"/>
              <w:rPr>
                <w:rFonts w:cstheme="minorHAnsi"/>
                <w:sz w:val="16"/>
                <w:szCs w:val="16"/>
              </w:rPr>
            </w:pPr>
            <w:r w:rsidRPr="007E4833">
              <w:rPr>
                <w:rFonts w:cstheme="minorHAnsi"/>
                <w:sz w:val="16"/>
                <w:szCs w:val="16"/>
              </w:rPr>
              <w:t xml:space="preserve">$5 </w:t>
            </w:r>
          </w:p>
        </w:tc>
      </w:tr>
      <w:tr w:rsidR="00022954" w:rsidRPr="007E4833" w14:paraId="49E824C0"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69204B" w14:textId="77777777" w:rsidR="00022954" w:rsidRPr="007E4833" w:rsidRDefault="00022954" w:rsidP="007E4833">
            <w:pPr>
              <w:jc w:val="both"/>
              <w:rPr>
                <w:rFonts w:cstheme="minorHAnsi"/>
                <w:sz w:val="16"/>
                <w:szCs w:val="16"/>
              </w:rPr>
            </w:pPr>
            <w:r w:rsidRPr="007E4833">
              <w:rPr>
                <w:rFonts w:cstheme="minorHAnsi"/>
                <w:sz w:val="16"/>
                <w:szCs w:val="16"/>
              </w:rPr>
              <w:t>Client distribution via wire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08D536" w14:textId="77777777" w:rsidR="00022954" w:rsidRPr="007E4833" w:rsidRDefault="00022954" w:rsidP="007E4833">
            <w:pPr>
              <w:jc w:val="both"/>
              <w:rPr>
                <w:rFonts w:cstheme="minorHAnsi"/>
                <w:sz w:val="16"/>
                <w:szCs w:val="16"/>
              </w:rPr>
            </w:pPr>
            <w:r w:rsidRPr="007E4833">
              <w:rPr>
                <w:rFonts w:cstheme="minorHAnsi"/>
                <w:sz w:val="16"/>
                <w:szCs w:val="16"/>
              </w:rPr>
              <w:t xml:space="preserve">$25 </w:t>
            </w:r>
          </w:p>
        </w:tc>
      </w:tr>
      <w:tr w:rsidR="00022954" w:rsidRPr="007E4833" w14:paraId="5EBA2432"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9D6B310" w14:textId="77777777" w:rsidR="00022954" w:rsidRPr="007E4833" w:rsidRDefault="00022954" w:rsidP="007E4833">
            <w:pPr>
              <w:jc w:val="both"/>
              <w:rPr>
                <w:rFonts w:cstheme="minorHAnsi"/>
                <w:sz w:val="16"/>
                <w:szCs w:val="16"/>
              </w:rPr>
            </w:pPr>
            <w:r w:rsidRPr="007E4833">
              <w:rPr>
                <w:rFonts w:cstheme="minorHAnsi"/>
                <w:sz w:val="16"/>
                <w:szCs w:val="16"/>
              </w:rPr>
              <w:t>Federal or state withholding</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A05A6E" w14:textId="77777777" w:rsidR="00022954" w:rsidRPr="007E4833" w:rsidRDefault="00022954" w:rsidP="007E4833">
            <w:pPr>
              <w:jc w:val="both"/>
              <w:rPr>
                <w:rFonts w:cstheme="minorHAnsi"/>
                <w:sz w:val="16"/>
                <w:szCs w:val="16"/>
              </w:rPr>
            </w:pPr>
            <w:r w:rsidRPr="007E4833">
              <w:rPr>
                <w:rFonts w:cstheme="minorHAnsi"/>
                <w:sz w:val="16"/>
                <w:szCs w:val="16"/>
              </w:rPr>
              <w:t>$5</w:t>
            </w:r>
          </w:p>
        </w:tc>
      </w:tr>
      <w:tr w:rsidR="00022954" w:rsidRPr="007E4833" w14:paraId="4E661B3C"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60B8448" w14:textId="77777777" w:rsidR="00022954" w:rsidRPr="007E4833" w:rsidRDefault="00022954" w:rsidP="007E4833">
            <w:pPr>
              <w:jc w:val="both"/>
              <w:rPr>
                <w:rFonts w:cstheme="minorHAnsi"/>
                <w:sz w:val="16"/>
                <w:szCs w:val="16"/>
              </w:rPr>
            </w:pPr>
            <w:r w:rsidRPr="007E4833">
              <w:rPr>
                <w:rFonts w:cstheme="minorHAnsi"/>
                <w:sz w:val="16"/>
                <w:szCs w:val="16"/>
              </w:rPr>
              <w:t>IRA Transfer Fee/Termination</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DE8A23" w14:textId="77777777" w:rsidR="00022954" w:rsidRPr="007E4833" w:rsidRDefault="00022954" w:rsidP="007E4833">
            <w:pPr>
              <w:jc w:val="both"/>
              <w:rPr>
                <w:rFonts w:cstheme="minorHAnsi"/>
                <w:sz w:val="16"/>
                <w:szCs w:val="16"/>
              </w:rPr>
            </w:pPr>
            <w:r w:rsidRPr="007E4833">
              <w:rPr>
                <w:rFonts w:cstheme="minorHAnsi"/>
                <w:sz w:val="16"/>
                <w:szCs w:val="16"/>
              </w:rPr>
              <w:t xml:space="preserve">$100 </w:t>
            </w:r>
          </w:p>
        </w:tc>
      </w:tr>
      <w:tr w:rsidR="00022954" w:rsidRPr="007E4833" w14:paraId="445A5B9E" w14:textId="77777777" w:rsidTr="001372B3">
        <w:trPr>
          <w:trHeight w:val="255"/>
        </w:trPr>
        <w:tc>
          <w:tcPr>
            <w:tcW w:w="4720" w:type="dxa"/>
            <w:tcBorders>
              <w:top w:val="nil"/>
              <w:left w:val="single" w:sz="8" w:space="0" w:color="auto"/>
              <w:bottom w:val="single" w:sz="8" w:space="0" w:color="auto"/>
              <w:right w:val="single" w:sz="8" w:space="0" w:color="auto"/>
            </w:tcBorders>
            <w:shd w:val="clear" w:color="auto" w:fill="538DD5"/>
            <w:tcMar>
              <w:top w:w="0" w:type="dxa"/>
              <w:left w:w="108" w:type="dxa"/>
              <w:bottom w:w="0" w:type="dxa"/>
              <w:right w:w="108" w:type="dxa"/>
            </w:tcMar>
            <w:vAlign w:val="bottom"/>
            <w:hideMark/>
          </w:tcPr>
          <w:p w14:paraId="3E2FA151" w14:textId="77777777" w:rsidR="00022954" w:rsidRPr="007E4833" w:rsidRDefault="00022954" w:rsidP="007E4833">
            <w:pPr>
              <w:jc w:val="both"/>
              <w:rPr>
                <w:rFonts w:cstheme="minorHAnsi"/>
                <w:b/>
                <w:bCs/>
                <w:sz w:val="16"/>
                <w:szCs w:val="16"/>
              </w:rPr>
            </w:pPr>
            <w:r w:rsidRPr="007E4833">
              <w:rPr>
                <w:rFonts w:cstheme="minorHAnsi"/>
                <w:b/>
                <w:bCs/>
                <w:sz w:val="16"/>
                <w:szCs w:val="16"/>
              </w:rPr>
              <w:t>Treasury</w:t>
            </w:r>
          </w:p>
        </w:tc>
        <w:tc>
          <w:tcPr>
            <w:tcW w:w="5440" w:type="dxa"/>
            <w:tcBorders>
              <w:top w:val="nil"/>
              <w:left w:val="nil"/>
              <w:bottom w:val="single" w:sz="8" w:space="0" w:color="auto"/>
              <w:right w:val="single" w:sz="8" w:space="0" w:color="auto"/>
            </w:tcBorders>
            <w:shd w:val="clear" w:color="auto" w:fill="538DD5"/>
            <w:tcMar>
              <w:top w:w="0" w:type="dxa"/>
              <w:left w:w="108" w:type="dxa"/>
              <w:bottom w:w="0" w:type="dxa"/>
              <w:right w:w="108" w:type="dxa"/>
            </w:tcMar>
            <w:vAlign w:val="bottom"/>
            <w:hideMark/>
          </w:tcPr>
          <w:p w14:paraId="444C7612" w14:textId="77777777" w:rsidR="00022954" w:rsidRPr="007E4833" w:rsidRDefault="00022954" w:rsidP="007E4833">
            <w:pPr>
              <w:jc w:val="both"/>
              <w:rPr>
                <w:rFonts w:cstheme="minorHAnsi"/>
                <w:b/>
                <w:bCs/>
                <w:sz w:val="16"/>
                <w:szCs w:val="16"/>
              </w:rPr>
            </w:pPr>
            <w:r w:rsidRPr="007E4833">
              <w:rPr>
                <w:rFonts w:cstheme="minorHAnsi"/>
                <w:b/>
                <w:bCs/>
                <w:sz w:val="16"/>
                <w:szCs w:val="16"/>
              </w:rPr>
              <w:t> </w:t>
            </w:r>
          </w:p>
        </w:tc>
      </w:tr>
      <w:tr w:rsidR="00022954" w:rsidRPr="007E4833" w14:paraId="7F465F8C"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9799663" w14:textId="77777777" w:rsidR="00022954" w:rsidRPr="007E4833" w:rsidRDefault="00022954" w:rsidP="007E4833">
            <w:pPr>
              <w:jc w:val="both"/>
              <w:rPr>
                <w:rFonts w:cstheme="minorHAnsi"/>
                <w:sz w:val="16"/>
                <w:szCs w:val="16"/>
              </w:rPr>
            </w:pPr>
            <w:r w:rsidRPr="007E4833">
              <w:rPr>
                <w:rFonts w:cstheme="minorHAnsi"/>
                <w:sz w:val="16"/>
                <w:szCs w:val="16"/>
              </w:rPr>
              <w:t xml:space="preserve">Stop Payment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8B3393" w14:textId="77777777" w:rsidR="00022954" w:rsidRPr="007E4833" w:rsidRDefault="00022954" w:rsidP="007E4833">
            <w:pPr>
              <w:jc w:val="both"/>
              <w:rPr>
                <w:rFonts w:cstheme="minorHAnsi"/>
                <w:sz w:val="16"/>
                <w:szCs w:val="16"/>
              </w:rPr>
            </w:pPr>
            <w:r w:rsidRPr="007E4833">
              <w:rPr>
                <w:rFonts w:cstheme="minorHAnsi"/>
                <w:sz w:val="16"/>
                <w:szCs w:val="16"/>
              </w:rPr>
              <w:t>$50</w:t>
            </w:r>
          </w:p>
        </w:tc>
      </w:tr>
      <w:tr w:rsidR="00022954" w:rsidRPr="007E4833" w14:paraId="28891D09"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CC7332" w14:textId="77777777" w:rsidR="00022954" w:rsidRPr="007E4833" w:rsidRDefault="00022954" w:rsidP="007E4833">
            <w:pPr>
              <w:jc w:val="both"/>
              <w:rPr>
                <w:rFonts w:cstheme="minorHAnsi"/>
                <w:sz w:val="16"/>
                <w:szCs w:val="16"/>
              </w:rPr>
            </w:pPr>
            <w:r w:rsidRPr="007E4833">
              <w:rPr>
                <w:rFonts w:cstheme="minorHAnsi"/>
                <w:sz w:val="16"/>
                <w:szCs w:val="16"/>
              </w:rPr>
              <w:t>Bounced Check</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6C3063" w14:textId="77777777" w:rsidR="00022954" w:rsidRPr="007E4833" w:rsidRDefault="00022954" w:rsidP="007E4833">
            <w:pPr>
              <w:jc w:val="both"/>
              <w:rPr>
                <w:rFonts w:cstheme="minorHAnsi"/>
                <w:sz w:val="16"/>
                <w:szCs w:val="16"/>
              </w:rPr>
            </w:pPr>
            <w:r w:rsidRPr="007E4833">
              <w:rPr>
                <w:rFonts w:cstheme="minorHAnsi"/>
                <w:sz w:val="16"/>
                <w:szCs w:val="16"/>
              </w:rPr>
              <w:t>$50</w:t>
            </w:r>
          </w:p>
        </w:tc>
      </w:tr>
      <w:tr w:rsidR="00022954" w:rsidRPr="007E4833" w14:paraId="26763320"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F2B984B" w14:textId="77777777" w:rsidR="00022954" w:rsidRPr="007E4833" w:rsidRDefault="00022954" w:rsidP="007E4833">
            <w:pPr>
              <w:jc w:val="both"/>
              <w:rPr>
                <w:rFonts w:cstheme="minorHAnsi"/>
                <w:sz w:val="16"/>
                <w:szCs w:val="16"/>
              </w:rPr>
            </w:pPr>
            <w:r w:rsidRPr="007E4833">
              <w:rPr>
                <w:rFonts w:cstheme="minorHAnsi"/>
                <w:sz w:val="16"/>
                <w:szCs w:val="16"/>
              </w:rPr>
              <w:t>Copy of Checks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7E4DAA" w14:textId="77777777" w:rsidR="00022954" w:rsidRPr="007E4833" w:rsidRDefault="00022954" w:rsidP="007E4833">
            <w:pPr>
              <w:jc w:val="both"/>
              <w:rPr>
                <w:rFonts w:cstheme="minorHAnsi"/>
                <w:sz w:val="16"/>
                <w:szCs w:val="16"/>
              </w:rPr>
            </w:pPr>
            <w:r w:rsidRPr="007E4833">
              <w:rPr>
                <w:rFonts w:cstheme="minorHAnsi"/>
                <w:sz w:val="16"/>
                <w:szCs w:val="16"/>
              </w:rPr>
              <w:t>$10</w:t>
            </w:r>
          </w:p>
        </w:tc>
      </w:tr>
      <w:tr w:rsidR="00022954" w:rsidRPr="007E4833" w14:paraId="6F14BDA5"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94073A" w14:textId="77777777" w:rsidR="00022954" w:rsidRPr="007E4833" w:rsidRDefault="00022954" w:rsidP="007E4833">
            <w:pPr>
              <w:jc w:val="both"/>
              <w:rPr>
                <w:rFonts w:cstheme="minorHAnsi"/>
                <w:sz w:val="16"/>
                <w:szCs w:val="16"/>
              </w:rPr>
            </w:pPr>
            <w:r w:rsidRPr="007E4833">
              <w:rPr>
                <w:rFonts w:cstheme="minorHAnsi"/>
                <w:sz w:val="16"/>
                <w:szCs w:val="16"/>
              </w:rPr>
              <w:t>Domestic Wire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E6032E" w14:textId="77777777" w:rsidR="00022954" w:rsidRPr="007E4833" w:rsidRDefault="00022954" w:rsidP="007E4833">
            <w:pPr>
              <w:jc w:val="both"/>
              <w:rPr>
                <w:rFonts w:cstheme="minorHAnsi"/>
                <w:sz w:val="16"/>
                <w:szCs w:val="16"/>
              </w:rPr>
            </w:pPr>
            <w:r w:rsidRPr="007E4833">
              <w:rPr>
                <w:rFonts w:cstheme="minorHAnsi"/>
                <w:sz w:val="16"/>
                <w:szCs w:val="16"/>
              </w:rPr>
              <w:t>$30</w:t>
            </w:r>
          </w:p>
        </w:tc>
      </w:tr>
      <w:tr w:rsidR="00022954" w:rsidRPr="007E4833" w14:paraId="4B8D7E8B"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BC5D27" w14:textId="77777777" w:rsidR="00022954" w:rsidRPr="007E4833" w:rsidRDefault="00022954" w:rsidP="007E4833">
            <w:pPr>
              <w:jc w:val="both"/>
              <w:rPr>
                <w:rFonts w:cstheme="minorHAnsi"/>
                <w:sz w:val="16"/>
                <w:szCs w:val="16"/>
              </w:rPr>
            </w:pPr>
            <w:r w:rsidRPr="007E4833">
              <w:rPr>
                <w:rFonts w:cstheme="minorHAnsi"/>
                <w:sz w:val="16"/>
                <w:szCs w:val="16"/>
              </w:rPr>
              <w:t>International Wire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4E5E89" w14:textId="77777777" w:rsidR="00022954" w:rsidRPr="007E4833" w:rsidRDefault="00022954" w:rsidP="007E4833">
            <w:pPr>
              <w:jc w:val="both"/>
              <w:rPr>
                <w:rFonts w:cstheme="minorHAnsi"/>
                <w:sz w:val="16"/>
                <w:szCs w:val="16"/>
              </w:rPr>
            </w:pPr>
            <w:r w:rsidRPr="007E4833">
              <w:rPr>
                <w:rFonts w:cstheme="minorHAnsi"/>
                <w:sz w:val="16"/>
                <w:szCs w:val="16"/>
              </w:rPr>
              <w:t>$50</w:t>
            </w:r>
          </w:p>
        </w:tc>
      </w:tr>
      <w:tr w:rsidR="00022954" w:rsidRPr="007E4833" w14:paraId="6864D91C"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E3C6CFF" w14:textId="77777777" w:rsidR="00022954" w:rsidRPr="007E4833" w:rsidRDefault="00022954" w:rsidP="007E4833">
            <w:pPr>
              <w:jc w:val="both"/>
              <w:rPr>
                <w:rFonts w:cstheme="minorHAnsi"/>
                <w:sz w:val="16"/>
                <w:szCs w:val="16"/>
              </w:rPr>
            </w:pPr>
            <w:r w:rsidRPr="007E4833">
              <w:rPr>
                <w:rFonts w:cstheme="minorHAnsi"/>
                <w:sz w:val="16"/>
                <w:szCs w:val="16"/>
              </w:rPr>
              <w:t>Returned Wire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2E2597" w14:textId="77777777" w:rsidR="00022954" w:rsidRPr="007E4833" w:rsidRDefault="00022954" w:rsidP="007E4833">
            <w:pPr>
              <w:jc w:val="both"/>
              <w:rPr>
                <w:rFonts w:cstheme="minorHAnsi"/>
                <w:sz w:val="16"/>
                <w:szCs w:val="16"/>
              </w:rPr>
            </w:pPr>
            <w:r w:rsidRPr="007E4833">
              <w:rPr>
                <w:rFonts w:cstheme="minorHAnsi"/>
                <w:sz w:val="16"/>
                <w:szCs w:val="16"/>
              </w:rPr>
              <w:t>$20</w:t>
            </w:r>
          </w:p>
        </w:tc>
      </w:tr>
      <w:tr w:rsidR="00022954" w:rsidRPr="007E4833" w14:paraId="221133DE"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E9FD68" w14:textId="77777777" w:rsidR="00022954" w:rsidRPr="007E4833" w:rsidRDefault="00022954" w:rsidP="007E4833">
            <w:pPr>
              <w:jc w:val="both"/>
              <w:rPr>
                <w:rFonts w:cstheme="minorHAnsi"/>
                <w:sz w:val="16"/>
                <w:szCs w:val="16"/>
              </w:rPr>
            </w:pPr>
            <w:r w:rsidRPr="007E4833">
              <w:rPr>
                <w:rFonts w:cstheme="minorHAnsi"/>
                <w:sz w:val="16"/>
                <w:szCs w:val="16"/>
              </w:rPr>
              <w:t>Outgoing ACH</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AB70BF" w14:textId="77777777" w:rsidR="00022954" w:rsidRPr="007E4833" w:rsidRDefault="00022954" w:rsidP="007E4833">
            <w:pPr>
              <w:jc w:val="both"/>
              <w:rPr>
                <w:rFonts w:cstheme="minorHAnsi"/>
                <w:sz w:val="16"/>
                <w:szCs w:val="16"/>
              </w:rPr>
            </w:pPr>
            <w:r w:rsidRPr="007E4833">
              <w:rPr>
                <w:rFonts w:cstheme="minorHAnsi"/>
                <w:sz w:val="16"/>
                <w:szCs w:val="16"/>
              </w:rPr>
              <w:t>$5</w:t>
            </w:r>
          </w:p>
        </w:tc>
      </w:tr>
      <w:tr w:rsidR="00022954" w:rsidRPr="007E4833" w14:paraId="6FDAD686"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8FF9562" w14:textId="77777777" w:rsidR="00022954" w:rsidRPr="007E4833" w:rsidRDefault="00022954" w:rsidP="007E4833">
            <w:pPr>
              <w:jc w:val="both"/>
              <w:rPr>
                <w:rFonts w:cstheme="minorHAnsi"/>
                <w:sz w:val="16"/>
                <w:szCs w:val="16"/>
              </w:rPr>
            </w:pPr>
            <w:r w:rsidRPr="007E4833">
              <w:rPr>
                <w:rFonts w:cstheme="minorHAnsi"/>
                <w:sz w:val="16"/>
                <w:szCs w:val="16"/>
              </w:rPr>
              <w:t>Returned ACH</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279E3" w14:textId="77777777" w:rsidR="00022954" w:rsidRPr="007E4833" w:rsidRDefault="00022954" w:rsidP="007E4833">
            <w:pPr>
              <w:jc w:val="both"/>
              <w:rPr>
                <w:rFonts w:cstheme="minorHAnsi"/>
                <w:sz w:val="16"/>
                <w:szCs w:val="16"/>
              </w:rPr>
            </w:pPr>
            <w:r w:rsidRPr="007E4833">
              <w:rPr>
                <w:rFonts w:cstheme="minorHAnsi"/>
                <w:sz w:val="16"/>
                <w:szCs w:val="16"/>
              </w:rPr>
              <w:t>$10</w:t>
            </w:r>
          </w:p>
        </w:tc>
      </w:tr>
      <w:tr w:rsidR="00022954" w:rsidRPr="007E4833" w14:paraId="59A6A4B6"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964C373" w14:textId="77777777" w:rsidR="00022954" w:rsidRPr="007E4833" w:rsidRDefault="00022954" w:rsidP="007E4833">
            <w:pPr>
              <w:jc w:val="both"/>
              <w:rPr>
                <w:rFonts w:cstheme="minorHAnsi"/>
                <w:sz w:val="16"/>
                <w:szCs w:val="16"/>
              </w:rPr>
            </w:pPr>
            <w:r w:rsidRPr="007E4833">
              <w:rPr>
                <w:rFonts w:cstheme="minorHAnsi"/>
                <w:sz w:val="16"/>
                <w:szCs w:val="16"/>
              </w:rPr>
              <w:t xml:space="preserve">Overnight Delivery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AAD47D" w14:textId="77777777" w:rsidR="00022954" w:rsidRPr="007E4833" w:rsidRDefault="00022954" w:rsidP="007E4833">
            <w:pPr>
              <w:jc w:val="both"/>
              <w:rPr>
                <w:rFonts w:cstheme="minorHAnsi"/>
                <w:sz w:val="16"/>
                <w:szCs w:val="16"/>
              </w:rPr>
            </w:pPr>
            <w:r w:rsidRPr="007E4833">
              <w:rPr>
                <w:rFonts w:cstheme="minorHAnsi"/>
                <w:sz w:val="16"/>
                <w:szCs w:val="16"/>
              </w:rPr>
              <w:t>$35</w:t>
            </w:r>
          </w:p>
        </w:tc>
      </w:tr>
      <w:tr w:rsidR="00022954" w:rsidRPr="007E4833" w14:paraId="068428E1"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909CA22" w14:textId="77777777" w:rsidR="00022954" w:rsidRPr="007E4833" w:rsidRDefault="00022954" w:rsidP="007E4833">
            <w:pPr>
              <w:jc w:val="both"/>
              <w:rPr>
                <w:rFonts w:cstheme="minorHAnsi"/>
                <w:sz w:val="16"/>
                <w:szCs w:val="16"/>
              </w:rPr>
            </w:pPr>
            <w:r w:rsidRPr="007E4833">
              <w:rPr>
                <w:rFonts w:cstheme="minorHAnsi"/>
                <w:sz w:val="16"/>
                <w:szCs w:val="16"/>
              </w:rPr>
              <w:t xml:space="preserve">International Delivery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9C6965" w14:textId="77777777" w:rsidR="00022954" w:rsidRPr="007E4833" w:rsidRDefault="00022954" w:rsidP="007E4833">
            <w:pPr>
              <w:jc w:val="both"/>
              <w:rPr>
                <w:rFonts w:cstheme="minorHAnsi"/>
                <w:sz w:val="16"/>
                <w:szCs w:val="16"/>
              </w:rPr>
            </w:pPr>
            <w:r w:rsidRPr="007E4833">
              <w:rPr>
                <w:rFonts w:cstheme="minorHAnsi"/>
                <w:sz w:val="16"/>
                <w:szCs w:val="16"/>
              </w:rPr>
              <w:t>AT COST</w:t>
            </w:r>
          </w:p>
        </w:tc>
      </w:tr>
      <w:tr w:rsidR="00022954" w:rsidRPr="007E4833" w14:paraId="7742D720" w14:textId="77777777" w:rsidTr="001372B3">
        <w:trPr>
          <w:trHeight w:val="250"/>
        </w:trPr>
        <w:tc>
          <w:tcPr>
            <w:tcW w:w="4720" w:type="dxa"/>
            <w:tcBorders>
              <w:top w:val="nil"/>
              <w:left w:val="single" w:sz="8" w:space="0" w:color="auto"/>
              <w:bottom w:val="single" w:sz="8" w:space="0" w:color="auto"/>
              <w:right w:val="single" w:sz="8" w:space="0" w:color="auto"/>
            </w:tcBorders>
            <w:shd w:val="clear" w:color="auto" w:fill="538DD5"/>
            <w:tcMar>
              <w:top w:w="0" w:type="dxa"/>
              <w:left w:w="108" w:type="dxa"/>
              <w:bottom w:w="0" w:type="dxa"/>
              <w:right w:w="108" w:type="dxa"/>
            </w:tcMar>
            <w:vAlign w:val="bottom"/>
            <w:hideMark/>
          </w:tcPr>
          <w:p w14:paraId="1720E368" w14:textId="77777777" w:rsidR="00022954" w:rsidRPr="007E4833" w:rsidRDefault="00022954" w:rsidP="007E4833">
            <w:pPr>
              <w:jc w:val="both"/>
              <w:rPr>
                <w:rFonts w:cstheme="minorHAnsi"/>
                <w:b/>
                <w:bCs/>
                <w:sz w:val="16"/>
                <w:szCs w:val="16"/>
              </w:rPr>
            </w:pPr>
            <w:r w:rsidRPr="007E4833">
              <w:rPr>
                <w:rFonts w:cstheme="minorHAnsi"/>
                <w:b/>
                <w:bCs/>
                <w:sz w:val="16"/>
                <w:szCs w:val="16"/>
              </w:rPr>
              <w:t>Settlement and Safekeeping Charges</w:t>
            </w:r>
          </w:p>
        </w:tc>
        <w:tc>
          <w:tcPr>
            <w:tcW w:w="5440" w:type="dxa"/>
            <w:tcBorders>
              <w:top w:val="nil"/>
              <w:left w:val="nil"/>
              <w:bottom w:val="single" w:sz="8" w:space="0" w:color="auto"/>
              <w:right w:val="single" w:sz="8" w:space="0" w:color="auto"/>
            </w:tcBorders>
            <w:shd w:val="clear" w:color="auto" w:fill="538DD5"/>
            <w:tcMar>
              <w:top w:w="0" w:type="dxa"/>
              <w:left w:w="108" w:type="dxa"/>
              <w:bottom w:w="0" w:type="dxa"/>
              <w:right w:w="108" w:type="dxa"/>
            </w:tcMar>
            <w:vAlign w:val="bottom"/>
            <w:hideMark/>
          </w:tcPr>
          <w:p w14:paraId="63C0D1F0" w14:textId="77777777" w:rsidR="00022954" w:rsidRPr="007E4833" w:rsidRDefault="00022954" w:rsidP="007E4833">
            <w:pPr>
              <w:jc w:val="both"/>
              <w:rPr>
                <w:rFonts w:cstheme="minorHAnsi"/>
                <w:sz w:val="16"/>
                <w:szCs w:val="16"/>
              </w:rPr>
            </w:pPr>
            <w:r w:rsidRPr="007E4833">
              <w:rPr>
                <w:rFonts w:cstheme="minorHAnsi"/>
                <w:sz w:val="16"/>
                <w:szCs w:val="16"/>
              </w:rPr>
              <w:t> </w:t>
            </w:r>
          </w:p>
        </w:tc>
      </w:tr>
      <w:tr w:rsidR="00022954" w:rsidRPr="007E4833" w14:paraId="13953D8A"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A43D8E4" w14:textId="77777777" w:rsidR="00022954" w:rsidRPr="007E4833" w:rsidRDefault="00022954" w:rsidP="007E4833">
            <w:pPr>
              <w:jc w:val="both"/>
              <w:rPr>
                <w:rFonts w:cstheme="minorHAnsi"/>
                <w:sz w:val="16"/>
                <w:szCs w:val="16"/>
              </w:rPr>
            </w:pPr>
            <w:r w:rsidRPr="007E4833">
              <w:rPr>
                <w:rFonts w:cstheme="minorHAnsi"/>
                <w:sz w:val="16"/>
                <w:szCs w:val="16"/>
              </w:rPr>
              <w:t>DTC Delivery Transfer</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E47CD0" w14:textId="77777777" w:rsidR="00022954" w:rsidRPr="007E4833" w:rsidRDefault="00022954" w:rsidP="007E4833">
            <w:pPr>
              <w:jc w:val="both"/>
              <w:rPr>
                <w:rFonts w:cstheme="minorHAnsi"/>
                <w:sz w:val="16"/>
                <w:szCs w:val="16"/>
              </w:rPr>
            </w:pPr>
            <w:r w:rsidRPr="007E4833">
              <w:rPr>
                <w:rFonts w:cstheme="minorHAnsi"/>
                <w:sz w:val="16"/>
                <w:szCs w:val="16"/>
              </w:rPr>
              <w:t>$10 per position</w:t>
            </w:r>
          </w:p>
        </w:tc>
      </w:tr>
      <w:tr w:rsidR="00022954" w:rsidRPr="007E4833" w14:paraId="7028920A"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6681EA" w14:textId="77777777" w:rsidR="00022954" w:rsidRPr="007E4833" w:rsidRDefault="00022954" w:rsidP="007E4833">
            <w:pPr>
              <w:jc w:val="both"/>
              <w:rPr>
                <w:rFonts w:cstheme="minorHAnsi"/>
                <w:sz w:val="16"/>
                <w:szCs w:val="16"/>
              </w:rPr>
            </w:pPr>
            <w:r w:rsidRPr="007E4833">
              <w:rPr>
                <w:rFonts w:cstheme="minorHAnsi"/>
                <w:sz w:val="16"/>
                <w:szCs w:val="16"/>
              </w:rPr>
              <w:t>DTC Delivery Transfer - Bonds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92E358" w14:textId="77777777" w:rsidR="00022954" w:rsidRPr="007E4833" w:rsidRDefault="00022954" w:rsidP="007E4833">
            <w:pPr>
              <w:jc w:val="both"/>
              <w:rPr>
                <w:rFonts w:cstheme="minorHAnsi"/>
                <w:sz w:val="16"/>
                <w:szCs w:val="16"/>
              </w:rPr>
            </w:pPr>
            <w:r w:rsidRPr="007E4833">
              <w:rPr>
                <w:rFonts w:cstheme="minorHAnsi"/>
                <w:sz w:val="16"/>
                <w:szCs w:val="16"/>
              </w:rPr>
              <w:t>$75 per position</w:t>
            </w:r>
          </w:p>
        </w:tc>
      </w:tr>
      <w:tr w:rsidR="00022954" w:rsidRPr="007E4833" w14:paraId="6F0FD00A"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777933" w14:textId="77777777" w:rsidR="00022954" w:rsidRPr="007E4833" w:rsidRDefault="00022954" w:rsidP="007E4833">
            <w:pPr>
              <w:jc w:val="both"/>
              <w:rPr>
                <w:rFonts w:cstheme="minorHAnsi"/>
                <w:sz w:val="16"/>
                <w:szCs w:val="16"/>
              </w:rPr>
            </w:pPr>
            <w:r w:rsidRPr="007E4833">
              <w:rPr>
                <w:rFonts w:cstheme="minorHAnsi"/>
                <w:sz w:val="16"/>
                <w:szCs w:val="16"/>
              </w:rPr>
              <w:t>ACAT (outbound)</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718534" w14:textId="77777777" w:rsidR="00022954" w:rsidRPr="007E4833" w:rsidRDefault="00022954" w:rsidP="007E4833">
            <w:pPr>
              <w:jc w:val="both"/>
              <w:rPr>
                <w:rFonts w:cstheme="minorHAnsi"/>
                <w:sz w:val="16"/>
                <w:szCs w:val="16"/>
              </w:rPr>
            </w:pPr>
            <w:r w:rsidRPr="007E4833">
              <w:rPr>
                <w:rFonts w:cstheme="minorHAnsi"/>
                <w:sz w:val="16"/>
                <w:szCs w:val="16"/>
              </w:rPr>
              <w:t>$75</w:t>
            </w:r>
          </w:p>
        </w:tc>
      </w:tr>
      <w:tr w:rsidR="00022954" w:rsidRPr="007E4833" w14:paraId="4BA96A22"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ACF9A8" w14:textId="77777777" w:rsidR="00022954" w:rsidRPr="007E4833" w:rsidRDefault="00022954" w:rsidP="007E4833">
            <w:pPr>
              <w:jc w:val="both"/>
              <w:rPr>
                <w:rFonts w:cstheme="minorHAnsi"/>
                <w:sz w:val="16"/>
                <w:szCs w:val="16"/>
              </w:rPr>
            </w:pPr>
            <w:r w:rsidRPr="007E4833">
              <w:rPr>
                <w:rFonts w:cstheme="minorHAnsi"/>
                <w:sz w:val="16"/>
                <w:szCs w:val="16"/>
              </w:rPr>
              <w:t>Partial ACAT</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F27CC6" w14:textId="77777777" w:rsidR="00022954" w:rsidRPr="007E4833" w:rsidRDefault="00022954" w:rsidP="007E4833">
            <w:pPr>
              <w:jc w:val="both"/>
              <w:rPr>
                <w:rFonts w:cstheme="minorHAnsi"/>
                <w:sz w:val="16"/>
                <w:szCs w:val="16"/>
              </w:rPr>
            </w:pPr>
            <w:r w:rsidRPr="007E4833">
              <w:rPr>
                <w:rFonts w:cstheme="minorHAnsi"/>
                <w:sz w:val="16"/>
                <w:szCs w:val="16"/>
              </w:rPr>
              <w:t>$25</w:t>
            </w:r>
          </w:p>
        </w:tc>
      </w:tr>
      <w:tr w:rsidR="00022954" w:rsidRPr="007E4833" w14:paraId="5B0C412F" w14:textId="77777777" w:rsidTr="001372B3">
        <w:trPr>
          <w:trHeight w:val="2680"/>
        </w:trPr>
        <w:tc>
          <w:tcPr>
            <w:tcW w:w="47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5968A7" w14:textId="77777777" w:rsidR="00022954" w:rsidRPr="007E4833" w:rsidRDefault="00022954" w:rsidP="007E4833">
            <w:pPr>
              <w:jc w:val="both"/>
              <w:rPr>
                <w:rFonts w:cstheme="minorHAnsi"/>
                <w:sz w:val="16"/>
                <w:szCs w:val="16"/>
              </w:rPr>
            </w:pPr>
            <w:r w:rsidRPr="007E4833">
              <w:rPr>
                <w:rFonts w:cstheme="minorHAnsi"/>
                <w:sz w:val="16"/>
                <w:szCs w:val="16"/>
              </w:rPr>
              <w:lastRenderedPageBreak/>
              <w:t>Illiquid Charges</w:t>
            </w:r>
          </w:p>
        </w:tc>
        <w:tc>
          <w:tcPr>
            <w:tcW w:w="5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2A10A164" w14:textId="43EB5669" w:rsidR="00022954" w:rsidRPr="007E4833" w:rsidRDefault="00022954" w:rsidP="007E4833">
            <w:pPr>
              <w:jc w:val="both"/>
              <w:rPr>
                <w:rFonts w:cstheme="minorHAnsi"/>
                <w:sz w:val="16"/>
                <w:szCs w:val="16"/>
              </w:rPr>
            </w:pPr>
            <w:r w:rsidRPr="007E4833">
              <w:rPr>
                <w:rFonts w:cstheme="minorHAnsi"/>
                <w:sz w:val="16"/>
                <w:szCs w:val="16"/>
              </w:rPr>
              <w:t xml:space="preserve">(Aggregate value of shares of a particular security sold on one day where more than 500,000 shares are sold that day) $0 to $2 million </w:t>
            </w:r>
            <w:r w:rsidR="00683EA3" w:rsidRPr="007E4833">
              <w:rPr>
                <w:rFonts w:cstheme="minorHAnsi"/>
                <w:sz w:val="16"/>
                <w:szCs w:val="16"/>
              </w:rPr>
              <w:t>- Interest</w:t>
            </w:r>
            <w:r w:rsidRPr="007E4833">
              <w:rPr>
                <w:rFonts w:cstheme="minorHAnsi"/>
                <w:sz w:val="16"/>
                <w:szCs w:val="16"/>
              </w:rPr>
              <w:t xml:space="preserve"> charge at broker call plus 15% per annum for the period </w:t>
            </w:r>
            <w:r w:rsidR="00683EA3" w:rsidRPr="007E4833">
              <w:rPr>
                <w:rFonts w:cstheme="minorHAnsi"/>
                <w:sz w:val="16"/>
                <w:szCs w:val="16"/>
              </w:rPr>
              <w:t>of the</w:t>
            </w:r>
            <w:r w:rsidRPr="007E4833">
              <w:rPr>
                <w:rFonts w:cstheme="minorHAnsi"/>
                <w:sz w:val="16"/>
                <w:szCs w:val="16"/>
              </w:rPr>
              <w:t xml:space="preserve"> charges, generally from trade to settlement date.  Your cost will be the higher of the 15% charge or $25.00 per CUSIP that incurs an illiquid charge.</w:t>
            </w:r>
            <w:r w:rsidRPr="007E4833">
              <w:rPr>
                <w:rFonts w:cstheme="minorHAnsi"/>
                <w:sz w:val="16"/>
                <w:szCs w:val="16"/>
              </w:rPr>
              <w:br/>
              <w:t xml:space="preserve">$2 to $5 million - Interest charge I at broker call plus 20% per annum for the period </w:t>
            </w:r>
            <w:r w:rsidR="00683EA3" w:rsidRPr="007E4833">
              <w:rPr>
                <w:rFonts w:cstheme="minorHAnsi"/>
                <w:sz w:val="16"/>
                <w:szCs w:val="16"/>
              </w:rPr>
              <w:t>of the</w:t>
            </w:r>
            <w:r w:rsidRPr="007E4833">
              <w:rPr>
                <w:rFonts w:cstheme="minorHAnsi"/>
                <w:sz w:val="16"/>
                <w:szCs w:val="16"/>
              </w:rPr>
              <w:t xml:space="preserve"> charges, generally from trade to settlement date. Your cost will be the higher of the 20% charge or $50.00 per CUSIP that incurs an illiquid charge.</w:t>
            </w:r>
            <w:r w:rsidRPr="007E4833">
              <w:rPr>
                <w:rFonts w:cstheme="minorHAnsi"/>
                <w:sz w:val="16"/>
                <w:szCs w:val="16"/>
              </w:rPr>
              <w:br/>
            </w:r>
            <w:r w:rsidRPr="007E4833">
              <w:rPr>
                <w:rFonts w:cstheme="minorHAnsi"/>
                <w:sz w:val="16"/>
                <w:szCs w:val="16"/>
              </w:rPr>
              <w:br/>
              <w:t xml:space="preserve">Above $5 million </w:t>
            </w:r>
            <w:r w:rsidR="00683EA3" w:rsidRPr="007E4833">
              <w:rPr>
                <w:rFonts w:cstheme="minorHAnsi"/>
                <w:sz w:val="16"/>
                <w:szCs w:val="16"/>
              </w:rPr>
              <w:t>- Interest</w:t>
            </w:r>
            <w:r w:rsidRPr="007E4833">
              <w:rPr>
                <w:rFonts w:cstheme="minorHAnsi"/>
                <w:sz w:val="16"/>
                <w:szCs w:val="16"/>
              </w:rPr>
              <w:t xml:space="preserve"> charge I at broker call plus 25% per annum for the period </w:t>
            </w:r>
            <w:r w:rsidR="00683EA3" w:rsidRPr="007E4833">
              <w:rPr>
                <w:rFonts w:cstheme="minorHAnsi"/>
                <w:sz w:val="16"/>
                <w:szCs w:val="16"/>
              </w:rPr>
              <w:t>of the</w:t>
            </w:r>
            <w:r w:rsidRPr="007E4833">
              <w:rPr>
                <w:rFonts w:cstheme="minorHAnsi"/>
                <w:sz w:val="16"/>
                <w:szCs w:val="16"/>
              </w:rPr>
              <w:t xml:space="preserve"> charges, generally from trade to settlement date.  Your cost will be the higher of the 25% charge or $75.00 per </w:t>
            </w:r>
            <w:r w:rsidR="00683EA3" w:rsidRPr="007E4833">
              <w:rPr>
                <w:rFonts w:cstheme="minorHAnsi"/>
                <w:sz w:val="16"/>
                <w:szCs w:val="16"/>
              </w:rPr>
              <w:t>CUSIP that</w:t>
            </w:r>
            <w:r w:rsidRPr="007E4833">
              <w:rPr>
                <w:rFonts w:cstheme="minorHAnsi"/>
                <w:sz w:val="16"/>
                <w:szCs w:val="16"/>
              </w:rPr>
              <w:t xml:space="preserve"> incurs an illiquid charge</w:t>
            </w:r>
          </w:p>
        </w:tc>
      </w:tr>
      <w:tr w:rsidR="00022954" w:rsidRPr="007E4833" w14:paraId="374A42C7"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2D8956" w14:textId="77777777" w:rsidR="00022954" w:rsidRPr="007E4833" w:rsidRDefault="00022954" w:rsidP="007E4833">
            <w:pPr>
              <w:jc w:val="both"/>
              <w:rPr>
                <w:rFonts w:cstheme="minorHAnsi"/>
                <w:sz w:val="16"/>
                <w:szCs w:val="16"/>
              </w:rPr>
            </w:pPr>
            <w:r w:rsidRPr="007E4833">
              <w:rPr>
                <w:rFonts w:cstheme="minorHAnsi"/>
                <w:sz w:val="16"/>
                <w:szCs w:val="16"/>
              </w:rPr>
              <w:t>Fail to Receive/Deliver</w:t>
            </w:r>
          </w:p>
        </w:tc>
        <w:tc>
          <w:tcPr>
            <w:tcW w:w="544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6DFA52E0" w14:textId="77777777" w:rsidR="00022954" w:rsidRPr="007E4833" w:rsidRDefault="00022954" w:rsidP="007E4833">
            <w:pPr>
              <w:jc w:val="both"/>
              <w:rPr>
                <w:rFonts w:cstheme="minorHAnsi"/>
                <w:color w:val="000000"/>
                <w:sz w:val="16"/>
                <w:szCs w:val="16"/>
              </w:rPr>
            </w:pPr>
            <w:r w:rsidRPr="007E4833">
              <w:rPr>
                <w:rFonts w:cstheme="minorHAnsi"/>
                <w:color w:val="000000"/>
                <w:sz w:val="16"/>
                <w:szCs w:val="16"/>
              </w:rPr>
              <w:t xml:space="preserve">$25.00 where resolved by DTC processing a frozen letter movement. </w:t>
            </w:r>
          </w:p>
        </w:tc>
      </w:tr>
      <w:tr w:rsidR="00022954" w:rsidRPr="007E4833" w14:paraId="5E4C5D62" w14:textId="77777777" w:rsidTr="001372B3">
        <w:trPr>
          <w:trHeight w:val="900"/>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F0A7A2" w14:textId="77777777" w:rsidR="00022954" w:rsidRPr="007E4833" w:rsidRDefault="00022954" w:rsidP="007E4833">
            <w:pPr>
              <w:jc w:val="both"/>
              <w:rPr>
                <w:rFonts w:cstheme="minorHAnsi"/>
                <w:sz w:val="16"/>
                <w:szCs w:val="16"/>
              </w:rPr>
            </w:pPr>
            <w:r w:rsidRPr="007E4833">
              <w:rPr>
                <w:rFonts w:cstheme="minorHAnsi"/>
                <w:sz w:val="16"/>
                <w:szCs w:val="16"/>
              </w:rPr>
              <w:t>CNS Fail Charges</w:t>
            </w:r>
          </w:p>
        </w:tc>
        <w:tc>
          <w:tcPr>
            <w:tcW w:w="5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495BB570" w14:textId="77777777" w:rsidR="00022954" w:rsidRPr="007E4833" w:rsidRDefault="00022954" w:rsidP="007E4833">
            <w:pPr>
              <w:jc w:val="both"/>
              <w:rPr>
                <w:rFonts w:cstheme="minorHAnsi"/>
                <w:color w:val="000000"/>
                <w:sz w:val="16"/>
                <w:szCs w:val="16"/>
              </w:rPr>
            </w:pPr>
            <w:r w:rsidRPr="007E4833">
              <w:rPr>
                <w:rFonts w:cstheme="minorHAnsi"/>
                <w:color w:val="000000"/>
                <w:sz w:val="16"/>
                <w:szCs w:val="16"/>
              </w:rPr>
              <w:t>Vision will charge Correspondent interest of Broker Call plus 6% annually, for the period of CNS Fail charges, generally from trade to settlement date. The interest charge will be the higher of the interest amount or $25.00 per CUSIP that incurs the charge.</w:t>
            </w:r>
          </w:p>
        </w:tc>
      </w:tr>
      <w:tr w:rsidR="00022954" w:rsidRPr="007E4833" w14:paraId="293FF49D" w14:textId="77777777" w:rsidTr="001372B3">
        <w:trPr>
          <w:trHeight w:val="900"/>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2A74E52" w14:textId="77777777" w:rsidR="00022954" w:rsidRPr="007E4833" w:rsidRDefault="00022954" w:rsidP="007E4833">
            <w:pPr>
              <w:jc w:val="both"/>
              <w:rPr>
                <w:rFonts w:cstheme="minorHAnsi"/>
                <w:sz w:val="16"/>
                <w:szCs w:val="16"/>
              </w:rPr>
            </w:pPr>
            <w:r w:rsidRPr="007E4833">
              <w:rPr>
                <w:rFonts w:cstheme="minorHAnsi"/>
                <w:sz w:val="16"/>
                <w:szCs w:val="16"/>
              </w:rPr>
              <w:t>Volatility Charges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7471D6" w14:textId="77777777" w:rsidR="00022954" w:rsidRPr="007E4833" w:rsidRDefault="00022954" w:rsidP="007E4833">
            <w:pPr>
              <w:jc w:val="both"/>
              <w:rPr>
                <w:rFonts w:cstheme="minorHAnsi"/>
                <w:color w:val="000000"/>
                <w:sz w:val="16"/>
                <w:szCs w:val="16"/>
              </w:rPr>
            </w:pPr>
            <w:r w:rsidRPr="007E4833">
              <w:rPr>
                <w:rFonts w:cstheme="minorHAnsi"/>
                <w:color w:val="000000"/>
                <w:sz w:val="16"/>
                <w:szCs w:val="16"/>
              </w:rPr>
              <w:t>Vision will charge Correspondent interest of Broker Call plus 6% annually, for the period of NSCC volatility charges, generally from trade to settlement date. The interest charge will be the higher of the interest amount or $25.00 per CUSIP that incurs the charge</w:t>
            </w:r>
          </w:p>
        </w:tc>
      </w:tr>
      <w:tr w:rsidR="00022954" w:rsidRPr="007E4833" w14:paraId="4EA3E3C3" w14:textId="77777777" w:rsidTr="001372B3">
        <w:trPr>
          <w:trHeight w:val="255"/>
        </w:trPr>
        <w:tc>
          <w:tcPr>
            <w:tcW w:w="4720" w:type="dxa"/>
            <w:tcBorders>
              <w:top w:val="single" w:sz="8" w:space="0" w:color="auto"/>
              <w:left w:val="single" w:sz="4" w:space="0" w:color="auto"/>
              <w:bottom w:val="single" w:sz="8" w:space="0" w:color="auto"/>
            </w:tcBorders>
            <w:noWrap/>
            <w:tcMar>
              <w:top w:w="0" w:type="dxa"/>
              <w:left w:w="108" w:type="dxa"/>
              <w:bottom w:w="0" w:type="dxa"/>
              <w:right w:w="108" w:type="dxa"/>
            </w:tcMar>
            <w:vAlign w:val="bottom"/>
            <w:hideMark/>
          </w:tcPr>
          <w:p w14:paraId="1597E4A8" w14:textId="77777777" w:rsidR="00022954" w:rsidRPr="007E4833" w:rsidRDefault="00022954" w:rsidP="007E4833">
            <w:pPr>
              <w:jc w:val="both"/>
              <w:rPr>
                <w:rFonts w:cstheme="minorHAnsi"/>
                <w:sz w:val="16"/>
                <w:szCs w:val="16"/>
              </w:rPr>
            </w:pPr>
            <w:r w:rsidRPr="007E4833">
              <w:rPr>
                <w:rFonts w:cstheme="minorHAnsi"/>
                <w:sz w:val="16"/>
                <w:szCs w:val="16"/>
              </w:rPr>
              <w:t>Continuous Net Settlement (CNS) Fail/ CNS Buy Ins</w:t>
            </w:r>
          </w:p>
        </w:tc>
        <w:tc>
          <w:tcPr>
            <w:tcW w:w="5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2BCEA7" w14:textId="77777777" w:rsidR="00022954" w:rsidRPr="007E4833" w:rsidRDefault="00022954" w:rsidP="007E4833">
            <w:pPr>
              <w:jc w:val="both"/>
              <w:rPr>
                <w:rFonts w:cstheme="minorHAnsi"/>
                <w:color w:val="000000"/>
                <w:sz w:val="16"/>
                <w:szCs w:val="16"/>
              </w:rPr>
            </w:pPr>
            <w:r w:rsidRPr="007E4833">
              <w:rPr>
                <w:rFonts w:cstheme="minorHAnsi"/>
                <w:color w:val="000000"/>
                <w:sz w:val="16"/>
                <w:szCs w:val="16"/>
              </w:rPr>
              <w:t>Correspondent shall be charged a buy-in fee of $10.00 per day per item</w:t>
            </w:r>
          </w:p>
        </w:tc>
      </w:tr>
      <w:tr w:rsidR="00022954" w:rsidRPr="007E4833" w14:paraId="016F0082" w14:textId="77777777" w:rsidTr="001372B3">
        <w:trPr>
          <w:trHeight w:val="255"/>
        </w:trPr>
        <w:tc>
          <w:tcPr>
            <w:tcW w:w="4720" w:type="dxa"/>
            <w:tcBorders>
              <w:top w:val="nil"/>
              <w:left w:val="single" w:sz="8" w:space="0" w:color="auto"/>
              <w:bottom w:val="single" w:sz="8" w:space="0" w:color="auto"/>
              <w:right w:val="single" w:sz="8" w:space="0" w:color="auto"/>
            </w:tcBorders>
            <w:shd w:val="clear" w:color="auto" w:fill="538DD5"/>
            <w:tcMar>
              <w:top w:w="0" w:type="dxa"/>
              <w:left w:w="108" w:type="dxa"/>
              <w:bottom w:w="0" w:type="dxa"/>
              <w:right w:w="108" w:type="dxa"/>
            </w:tcMar>
            <w:vAlign w:val="bottom"/>
            <w:hideMark/>
          </w:tcPr>
          <w:p w14:paraId="00659CDD" w14:textId="77777777" w:rsidR="00022954" w:rsidRPr="007E4833" w:rsidRDefault="00022954" w:rsidP="007E4833">
            <w:pPr>
              <w:jc w:val="both"/>
              <w:rPr>
                <w:rFonts w:cstheme="minorHAnsi"/>
                <w:b/>
                <w:bCs/>
                <w:sz w:val="16"/>
                <w:szCs w:val="16"/>
              </w:rPr>
            </w:pPr>
            <w:r w:rsidRPr="007E4833">
              <w:rPr>
                <w:rFonts w:cstheme="minorHAnsi"/>
                <w:b/>
                <w:bCs/>
                <w:sz w:val="16"/>
                <w:szCs w:val="16"/>
              </w:rPr>
              <w:t>Miscellaneous Fees/Charges</w:t>
            </w:r>
          </w:p>
        </w:tc>
        <w:tc>
          <w:tcPr>
            <w:tcW w:w="5440" w:type="dxa"/>
            <w:tcBorders>
              <w:top w:val="nil"/>
              <w:left w:val="nil"/>
              <w:bottom w:val="single" w:sz="8" w:space="0" w:color="auto"/>
              <w:right w:val="single" w:sz="8" w:space="0" w:color="auto"/>
            </w:tcBorders>
            <w:shd w:val="clear" w:color="auto" w:fill="538DD5"/>
            <w:tcMar>
              <w:top w:w="0" w:type="dxa"/>
              <w:left w:w="108" w:type="dxa"/>
              <w:bottom w:w="0" w:type="dxa"/>
              <w:right w:w="108" w:type="dxa"/>
            </w:tcMar>
            <w:vAlign w:val="bottom"/>
            <w:hideMark/>
          </w:tcPr>
          <w:p w14:paraId="553F88C6" w14:textId="77777777" w:rsidR="00022954" w:rsidRPr="007E4833" w:rsidRDefault="00022954" w:rsidP="007E4833">
            <w:pPr>
              <w:jc w:val="both"/>
              <w:rPr>
                <w:rFonts w:cstheme="minorHAnsi"/>
                <w:b/>
                <w:bCs/>
                <w:sz w:val="16"/>
                <w:szCs w:val="16"/>
              </w:rPr>
            </w:pPr>
            <w:r w:rsidRPr="007E4833">
              <w:rPr>
                <w:rFonts w:cstheme="minorHAnsi"/>
                <w:b/>
                <w:bCs/>
                <w:sz w:val="16"/>
                <w:szCs w:val="16"/>
              </w:rPr>
              <w:t> </w:t>
            </w:r>
          </w:p>
        </w:tc>
      </w:tr>
      <w:tr w:rsidR="00022954" w:rsidRPr="007E4833" w14:paraId="29CE91A6"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731E4C" w14:textId="77777777" w:rsidR="00022954" w:rsidRPr="007E4833" w:rsidRDefault="00022954" w:rsidP="007E4833">
            <w:pPr>
              <w:jc w:val="both"/>
              <w:rPr>
                <w:rFonts w:cstheme="minorHAnsi"/>
                <w:sz w:val="16"/>
                <w:szCs w:val="16"/>
              </w:rPr>
            </w:pPr>
            <w:r w:rsidRPr="007E4833">
              <w:rPr>
                <w:rFonts w:cstheme="minorHAnsi"/>
                <w:sz w:val="16"/>
                <w:szCs w:val="16"/>
              </w:rPr>
              <w:t>E-mail Confirmation and Statements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5DFD63" w14:textId="77777777" w:rsidR="00022954" w:rsidRPr="007E4833" w:rsidRDefault="00022954" w:rsidP="007E4833">
            <w:pPr>
              <w:jc w:val="both"/>
              <w:rPr>
                <w:rFonts w:cstheme="minorHAnsi"/>
                <w:sz w:val="16"/>
                <w:szCs w:val="16"/>
              </w:rPr>
            </w:pPr>
            <w:r w:rsidRPr="007E4833">
              <w:rPr>
                <w:rFonts w:cstheme="minorHAnsi"/>
                <w:sz w:val="16"/>
                <w:szCs w:val="16"/>
              </w:rPr>
              <w:t>FREE</w:t>
            </w:r>
          </w:p>
        </w:tc>
      </w:tr>
      <w:tr w:rsidR="00022954" w:rsidRPr="007E4833" w14:paraId="76460763"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B664D1" w14:textId="77777777" w:rsidR="00022954" w:rsidRPr="007E4833" w:rsidRDefault="00022954" w:rsidP="007E4833">
            <w:pPr>
              <w:jc w:val="both"/>
              <w:rPr>
                <w:rFonts w:cstheme="minorHAnsi"/>
                <w:sz w:val="16"/>
                <w:szCs w:val="16"/>
              </w:rPr>
            </w:pPr>
            <w:r w:rsidRPr="007E4833">
              <w:rPr>
                <w:rFonts w:cstheme="minorHAnsi"/>
                <w:sz w:val="16"/>
                <w:szCs w:val="16"/>
              </w:rPr>
              <w:t xml:space="preserve">Paper Statements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46AC20" w14:textId="77777777" w:rsidR="00022954" w:rsidRPr="007E4833" w:rsidRDefault="00022954" w:rsidP="007E4833">
            <w:pPr>
              <w:jc w:val="both"/>
              <w:rPr>
                <w:rFonts w:cstheme="minorHAnsi"/>
                <w:sz w:val="16"/>
                <w:szCs w:val="16"/>
              </w:rPr>
            </w:pPr>
            <w:r w:rsidRPr="007E4833">
              <w:rPr>
                <w:rFonts w:cstheme="minorHAnsi"/>
                <w:sz w:val="16"/>
                <w:szCs w:val="16"/>
              </w:rPr>
              <w:t>$2 per month per account</w:t>
            </w:r>
          </w:p>
        </w:tc>
      </w:tr>
      <w:tr w:rsidR="00022954" w:rsidRPr="007E4833" w14:paraId="1D0E942E"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9650E8" w14:textId="77777777" w:rsidR="00022954" w:rsidRPr="007E4833" w:rsidRDefault="00022954" w:rsidP="007E4833">
            <w:pPr>
              <w:jc w:val="both"/>
              <w:rPr>
                <w:rFonts w:cstheme="minorHAnsi"/>
                <w:sz w:val="16"/>
                <w:szCs w:val="16"/>
              </w:rPr>
            </w:pPr>
            <w:r w:rsidRPr="007E4833">
              <w:rPr>
                <w:rFonts w:cstheme="minorHAnsi"/>
                <w:sz w:val="16"/>
                <w:szCs w:val="16"/>
              </w:rPr>
              <w:t>Paper Statements - International Address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AABC81" w14:textId="77777777" w:rsidR="00022954" w:rsidRPr="007E4833" w:rsidRDefault="00022954" w:rsidP="007E4833">
            <w:pPr>
              <w:jc w:val="both"/>
              <w:rPr>
                <w:rFonts w:cstheme="minorHAnsi"/>
                <w:sz w:val="16"/>
                <w:szCs w:val="16"/>
              </w:rPr>
            </w:pPr>
            <w:r w:rsidRPr="007E4833">
              <w:rPr>
                <w:rFonts w:cstheme="minorHAnsi"/>
                <w:sz w:val="16"/>
                <w:szCs w:val="16"/>
              </w:rPr>
              <w:t xml:space="preserve">$5 per month per account </w:t>
            </w:r>
          </w:p>
        </w:tc>
      </w:tr>
      <w:tr w:rsidR="00022954" w:rsidRPr="007E4833" w14:paraId="2B08C60F"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577117" w14:textId="77777777" w:rsidR="00022954" w:rsidRPr="007E4833" w:rsidRDefault="00022954" w:rsidP="007E4833">
            <w:pPr>
              <w:jc w:val="both"/>
              <w:rPr>
                <w:rFonts w:cstheme="minorHAnsi"/>
                <w:sz w:val="16"/>
                <w:szCs w:val="16"/>
              </w:rPr>
            </w:pPr>
            <w:r w:rsidRPr="007E4833">
              <w:rPr>
                <w:rFonts w:cstheme="minorHAnsi"/>
                <w:sz w:val="16"/>
                <w:szCs w:val="16"/>
              </w:rPr>
              <w:t>Paper Confirmations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9A6B07" w14:textId="77777777" w:rsidR="00022954" w:rsidRPr="007E4833" w:rsidRDefault="00022954" w:rsidP="007E4833">
            <w:pPr>
              <w:jc w:val="both"/>
              <w:rPr>
                <w:rFonts w:cstheme="minorHAnsi"/>
                <w:sz w:val="16"/>
                <w:szCs w:val="16"/>
              </w:rPr>
            </w:pPr>
            <w:r w:rsidRPr="007E4833">
              <w:rPr>
                <w:rFonts w:cstheme="minorHAnsi"/>
                <w:sz w:val="16"/>
                <w:szCs w:val="16"/>
              </w:rPr>
              <w:t>$2 per confirmation</w:t>
            </w:r>
          </w:p>
        </w:tc>
      </w:tr>
      <w:tr w:rsidR="00022954" w:rsidRPr="007E4833" w14:paraId="6D027856"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AA2F11D" w14:textId="77777777" w:rsidR="00022954" w:rsidRPr="007E4833" w:rsidRDefault="00022954" w:rsidP="007E4833">
            <w:pPr>
              <w:jc w:val="both"/>
              <w:rPr>
                <w:rFonts w:cstheme="minorHAnsi"/>
                <w:sz w:val="16"/>
                <w:szCs w:val="16"/>
              </w:rPr>
            </w:pPr>
            <w:r w:rsidRPr="007E4833">
              <w:rPr>
                <w:rFonts w:cstheme="minorHAnsi"/>
                <w:sz w:val="16"/>
                <w:szCs w:val="16"/>
              </w:rPr>
              <w:t>Paper Confirmations - International Address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0899D6" w14:textId="77777777" w:rsidR="00022954" w:rsidRPr="007E4833" w:rsidRDefault="00022954" w:rsidP="007E4833">
            <w:pPr>
              <w:jc w:val="both"/>
              <w:rPr>
                <w:rFonts w:cstheme="minorHAnsi"/>
                <w:sz w:val="16"/>
                <w:szCs w:val="16"/>
              </w:rPr>
            </w:pPr>
            <w:r w:rsidRPr="007E4833">
              <w:rPr>
                <w:rFonts w:cstheme="minorHAnsi"/>
                <w:sz w:val="16"/>
                <w:szCs w:val="16"/>
              </w:rPr>
              <w:t xml:space="preserve">$4 per confirmation </w:t>
            </w:r>
          </w:p>
        </w:tc>
      </w:tr>
      <w:tr w:rsidR="00022954" w:rsidRPr="007E4833" w14:paraId="77B2B034"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2CF7408" w14:textId="77777777" w:rsidR="00022954" w:rsidRPr="007E4833" w:rsidRDefault="00022954" w:rsidP="007E4833">
            <w:pPr>
              <w:jc w:val="both"/>
              <w:rPr>
                <w:rFonts w:cstheme="minorHAnsi"/>
                <w:sz w:val="16"/>
                <w:szCs w:val="16"/>
              </w:rPr>
            </w:pPr>
            <w:r w:rsidRPr="007E4833">
              <w:rPr>
                <w:rFonts w:cstheme="minorHAnsi"/>
                <w:sz w:val="16"/>
                <w:szCs w:val="16"/>
              </w:rPr>
              <w:t>Duplicate Paper Confirmations or Statements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A302E4" w14:textId="77777777" w:rsidR="00022954" w:rsidRPr="007E4833" w:rsidRDefault="00022954" w:rsidP="007E4833">
            <w:pPr>
              <w:jc w:val="both"/>
              <w:rPr>
                <w:rFonts w:cstheme="minorHAnsi"/>
                <w:sz w:val="16"/>
                <w:szCs w:val="16"/>
              </w:rPr>
            </w:pPr>
            <w:r w:rsidRPr="007E4833">
              <w:rPr>
                <w:rFonts w:cstheme="minorHAnsi"/>
                <w:sz w:val="16"/>
                <w:szCs w:val="16"/>
              </w:rPr>
              <w:t>$2 per item</w:t>
            </w:r>
          </w:p>
        </w:tc>
      </w:tr>
      <w:tr w:rsidR="00022954" w:rsidRPr="007E4833" w14:paraId="000BF5AE" w14:textId="77777777" w:rsidTr="001372B3">
        <w:trPr>
          <w:trHeight w:val="255"/>
        </w:trPr>
        <w:tc>
          <w:tcPr>
            <w:tcW w:w="4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1EB0C1" w14:textId="77777777" w:rsidR="00022954" w:rsidRPr="007E4833" w:rsidRDefault="00022954" w:rsidP="007E4833">
            <w:pPr>
              <w:jc w:val="both"/>
              <w:rPr>
                <w:rFonts w:cstheme="minorHAnsi"/>
                <w:color w:val="000000"/>
                <w:sz w:val="16"/>
                <w:szCs w:val="16"/>
              </w:rPr>
            </w:pPr>
            <w:r w:rsidRPr="007E4833">
              <w:rPr>
                <w:rFonts w:cstheme="minorHAnsi"/>
                <w:color w:val="000000"/>
                <w:sz w:val="16"/>
                <w:szCs w:val="16"/>
              </w:rPr>
              <w:t>Statement and Confirmation CD Copy</w:t>
            </w:r>
          </w:p>
        </w:tc>
        <w:tc>
          <w:tcPr>
            <w:tcW w:w="5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D6FAB50" w14:textId="77777777" w:rsidR="00022954" w:rsidRPr="007E4833" w:rsidRDefault="00022954" w:rsidP="007E4833">
            <w:pPr>
              <w:jc w:val="both"/>
              <w:rPr>
                <w:rFonts w:cstheme="minorHAnsi"/>
                <w:color w:val="000000"/>
                <w:sz w:val="16"/>
                <w:szCs w:val="16"/>
              </w:rPr>
            </w:pPr>
            <w:r w:rsidRPr="007E4833">
              <w:rPr>
                <w:rFonts w:cstheme="minorHAnsi"/>
                <w:color w:val="000000"/>
                <w:sz w:val="16"/>
                <w:szCs w:val="16"/>
              </w:rPr>
              <w:t>$50 monthly plus FedEx fees</w:t>
            </w:r>
          </w:p>
        </w:tc>
      </w:tr>
      <w:tr w:rsidR="00022954" w:rsidRPr="007E4833" w14:paraId="26059E24"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5DCD0FA" w14:textId="77777777" w:rsidR="00022954" w:rsidRPr="007E4833" w:rsidRDefault="00022954" w:rsidP="007E4833">
            <w:pPr>
              <w:jc w:val="both"/>
              <w:rPr>
                <w:rFonts w:cstheme="minorHAnsi"/>
                <w:sz w:val="16"/>
                <w:szCs w:val="16"/>
              </w:rPr>
            </w:pPr>
            <w:r w:rsidRPr="007E4833">
              <w:rPr>
                <w:rFonts w:cstheme="minorHAnsi"/>
                <w:sz w:val="16"/>
                <w:szCs w:val="16"/>
              </w:rPr>
              <w:t>Prospectus Delivery (paper)</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49EC93" w14:textId="77777777" w:rsidR="00022954" w:rsidRPr="007E4833" w:rsidRDefault="00022954" w:rsidP="007E4833">
            <w:pPr>
              <w:jc w:val="both"/>
              <w:rPr>
                <w:rFonts w:cstheme="minorHAnsi"/>
                <w:sz w:val="16"/>
                <w:szCs w:val="16"/>
              </w:rPr>
            </w:pPr>
            <w:r w:rsidRPr="007E4833">
              <w:rPr>
                <w:rFonts w:cstheme="minorHAnsi"/>
                <w:sz w:val="16"/>
                <w:szCs w:val="16"/>
              </w:rPr>
              <w:t>$2</w:t>
            </w:r>
          </w:p>
        </w:tc>
      </w:tr>
      <w:tr w:rsidR="00022954" w:rsidRPr="007E4833" w14:paraId="20CF803F"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90A3A5" w14:textId="77777777" w:rsidR="00022954" w:rsidRPr="007E4833" w:rsidRDefault="00022954" w:rsidP="007E4833">
            <w:pPr>
              <w:jc w:val="both"/>
              <w:rPr>
                <w:rFonts w:cstheme="minorHAnsi"/>
                <w:sz w:val="16"/>
                <w:szCs w:val="16"/>
              </w:rPr>
            </w:pPr>
            <w:r w:rsidRPr="007E4833">
              <w:rPr>
                <w:rFonts w:cstheme="minorHAnsi"/>
                <w:sz w:val="16"/>
                <w:szCs w:val="16"/>
              </w:rPr>
              <w:t>Prospectus Delivery (paper) - International Address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E2BF3F" w14:textId="77777777" w:rsidR="00022954" w:rsidRPr="007E4833" w:rsidRDefault="00022954" w:rsidP="007E4833">
            <w:pPr>
              <w:jc w:val="both"/>
              <w:rPr>
                <w:rFonts w:cstheme="minorHAnsi"/>
                <w:sz w:val="16"/>
                <w:szCs w:val="16"/>
              </w:rPr>
            </w:pPr>
            <w:r w:rsidRPr="007E4833">
              <w:rPr>
                <w:rFonts w:cstheme="minorHAnsi"/>
                <w:sz w:val="16"/>
                <w:szCs w:val="16"/>
              </w:rPr>
              <w:t>$4</w:t>
            </w:r>
          </w:p>
        </w:tc>
      </w:tr>
      <w:tr w:rsidR="00022954" w:rsidRPr="007E4833" w14:paraId="5050C527"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77B8BE" w14:textId="77777777" w:rsidR="00022954" w:rsidRPr="007E4833" w:rsidRDefault="00022954" w:rsidP="007E4833">
            <w:pPr>
              <w:jc w:val="both"/>
              <w:rPr>
                <w:rFonts w:cstheme="minorHAnsi"/>
                <w:sz w:val="16"/>
                <w:szCs w:val="16"/>
              </w:rPr>
            </w:pPr>
            <w:r w:rsidRPr="007E4833">
              <w:rPr>
                <w:rFonts w:cstheme="minorHAnsi"/>
                <w:sz w:val="16"/>
                <w:szCs w:val="16"/>
              </w:rPr>
              <w:t>Prospectus Delivery (electronic)</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F73248" w14:textId="77777777" w:rsidR="00022954" w:rsidRPr="007E4833" w:rsidRDefault="00022954" w:rsidP="007E4833">
            <w:pPr>
              <w:jc w:val="both"/>
              <w:rPr>
                <w:rFonts w:cstheme="minorHAnsi"/>
                <w:sz w:val="16"/>
                <w:szCs w:val="16"/>
              </w:rPr>
            </w:pPr>
            <w:r w:rsidRPr="007E4833">
              <w:rPr>
                <w:rFonts w:cstheme="minorHAnsi"/>
                <w:sz w:val="16"/>
                <w:szCs w:val="16"/>
              </w:rPr>
              <w:t>Free</w:t>
            </w:r>
          </w:p>
        </w:tc>
      </w:tr>
      <w:tr w:rsidR="00022954" w:rsidRPr="007E4833" w14:paraId="40B081A8"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A85092" w14:textId="77777777" w:rsidR="00022954" w:rsidRPr="007E4833" w:rsidRDefault="00022954" w:rsidP="007E4833">
            <w:pPr>
              <w:jc w:val="both"/>
              <w:rPr>
                <w:rFonts w:cstheme="minorHAnsi"/>
                <w:sz w:val="16"/>
                <w:szCs w:val="16"/>
              </w:rPr>
            </w:pPr>
            <w:r w:rsidRPr="007E4833">
              <w:rPr>
                <w:rFonts w:cstheme="minorHAnsi"/>
                <w:sz w:val="16"/>
                <w:szCs w:val="16"/>
              </w:rPr>
              <w:t>Blue Sheets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27BDFD" w14:textId="77777777" w:rsidR="00022954" w:rsidRPr="007E4833" w:rsidRDefault="00022954" w:rsidP="007E4833">
            <w:pPr>
              <w:jc w:val="both"/>
              <w:rPr>
                <w:rFonts w:cstheme="minorHAnsi"/>
                <w:sz w:val="16"/>
                <w:szCs w:val="16"/>
              </w:rPr>
            </w:pPr>
            <w:r w:rsidRPr="007E4833">
              <w:rPr>
                <w:rFonts w:cstheme="minorHAnsi"/>
                <w:sz w:val="16"/>
                <w:szCs w:val="16"/>
              </w:rPr>
              <w:t>$25 per Blue Sheet</w:t>
            </w:r>
          </w:p>
        </w:tc>
      </w:tr>
      <w:tr w:rsidR="00022954" w:rsidRPr="007E4833" w14:paraId="2900C3EC"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E6ACF57" w14:textId="77777777" w:rsidR="00022954" w:rsidRPr="007E4833" w:rsidRDefault="00022954" w:rsidP="007E4833">
            <w:pPr>
              <w:jc w:val="both"/>
              <w:rPr>
                <w:rFonts w:cstheme="minorHAnsi"/>
                <w:sz w:val="16"/>
                <w:szCs w:val="16"/>
              </w:rPr>
            </w:pPr>
            <w:r w:rsidRPr="007E4833">
              <w:rPr>
                <w:rFonts w:cstheme="minorHAnsi"/>
                <w:sz w:val="16"/>
                <w:szCs w:val="16"/>
              </w:rPr>
              <w:t>Broker Workstation</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tcPr>
          <w:p w14:paraId="72A1171E" w14:textId="77777777" w:rsidR="00022954" w:rsidRPr="007E4833" w:rsidRDefault="00022954" w:rsidP="007E4833">
            <w:pPr>
              <w:jc w:val="both"/>
              <w:rPr>
                <w:rFonts w:cstheme="minorHAnsi"/>
                <w:sz w:val="16"/>
                <w:szCs w:val="16"/>
              </w:rPr>
            </w:pPr>
            <w:r w:rsidRPr="007E4833">
              <w:rPr>
                <w:rFonts w:cstheme="minorHAnsi"/>
                <w:sz w:val="16"/>
                <w:szCs w:val="16"/>
              </w:rPr>
              <w:t>AT COST</w:t>
            </w:r>
          </w:p>
        </w:tc>
      </w:tr>
      <w:tr w:rsidR="00022954" w:rsidRPr="007E4833" w14:paraId="670D7BFA" w14:textId="77777777" w:rsidTr="001372B3">
        <w:trPr>
          <w:trHeight w:val="412"/>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D690F7A" w14:textId="77777777" w:rsidR="00022954" w:rsidRPr="007E4833" w:rsidRDefault="00022954" w:rsidP="007E4833">
            <w:pPr>
              <w:jc w:val="both"/>
              <w:rPr>
                <w:rFonts w:cstheme="minorHAnsi"/>
                <w:sz w:val="16"/>
                <w:szCs w:val="16"/>
              </w:rPr>
            </w:pPr>
            <w:r w:rsidRPr="007E4833">
              <w:rPr>
                <w:rFonts w:cstheme="minorHAnsi"/>
                <w:sz w:val="16"/>
                <w:szCs w:val="16"/>
              </w:rPr>
              <w:t>Processing/storage fees by Vision’s statement vendor (for month-end statements, trade confirmations and tax documents)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836D85" w14:textId="77777777" w:rsidR="00022954" w:rsidRPr="007E4833" w:rsidRDefault="00022954" w:rsidP="007E4833">
            <w:pPr>
              <w:jc w:val="both"/>
              <w:rPr>
                <w:rFonts w:cstheme="minorHAnsi"/>
                <w:sz w:val="16"/>
                <w:szCs w:val="16"/>
              </w:rPr>
            </w:pPr>
            <w:r w:rsidRPr="007E4833">
              <w:rPr>
                <w:rFonts w:cstheme="minorHAnsi"/>
                <w:sz w:val="16"/>
                <w:szCs w:val="16"/>
              </w:rPr>
              <w:t>AT COST</w:t>
            </w:r>
          </w:p>
        </w:tc>
      </w:tr>
      <w:tr w:rsidR="00022954" w:rsidRPr="007E4833" w14:paraId="5E0789F8"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B5A1EE8" w14:textId="77777777" w:rsidR="00022954" w:rsidRPr="007E4833" w:rsidRDefault="00022954" w:rsidP="007E4833">
            <w:pPr>
              <w:jc w:val="both"/>
              <w:rPr>
                <w:rFonts w:cstheme="minorHAnsi"/>
                <w:sz w:val="16"/>
                <w:szCs w:val="16"/>
              </w:rPr>
            </w:pPr>
            <w:r w:rsidRPr="007E4833">
              <w:rPr>
                <w:rFonts w:cstheme="minorHAnsi"/>
                <w:sz w:val="16"/>
                <w:szCs w:val="16"/>
              </w:rPr>
              <w:t>Account Escheatment</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607224" w14:textId="77777777" w:rsidR="00022954" w:rsidRPr="007E4833" w:rsidRDefault="00022954" w:rsidP="007E4833">
            <w:pPr>
              <w:jc w:val="both"/>
              <w:rPr>
                <w:rFonts w:cstheme="minorHAnsi"/>
                <w:sz w:val="16"/>
                <w:szCs w:val="16"/>
              </w:rPr>
            </w:pPr>
            <w:r w:rsidRPr="007E4833">
              <w:rPr>
                <w:rFonts w:cstheme="minorHAnsi"/>
                <w:sz w:val="16"/>
                <w:szCs w:val="16"/>
              </w:rPr>
              <w:t xml:space="preserve">$250 </w:t>
            </w:r>
          </w:p>
        </w:tc>
      </w:tr>
      <w:tr w:rsidR="00022954" w:rsidRPr="007E4833" w14:paraId="13DEBC73" w14:textId="77777777" w:rsidTr="001372B3">
        <w:trPr>
          <w:trHeight w:val="255"/>
        </w:trPr>
        <w:tc>
          <w:tcPr>
            <w:tcW w:w="4720" w:type="dxa"/>
            <w:tcBorders>
              <w:top w:val="nil"/>
              <w:left w:val="single" w:sz="8" w:space="0" w:color="auto"/>
              <w:bottom w:val="single" w:sz="8" w:space="0" w:color="auto"/>
              <w:right w:val="single" w:sz="8" w:space="0" w:color="auto"/>
            </w:tcBorders>
            <w:shd w:val="clear" w:color="auto" w:fill="538DD5"/>
            <w:tcMar>
              <w:top w:w="0" w:type="dxa"/>
              <w:left w:w="108" w:type="dxa"/>
              <w:bottom w:w="0" w:type="dxa"/>
              <w:right w:w="108" w:type="dxa"/>
            </w:tcMar>
            <w:vAlign w:val="bottom"/>
            <w:hideMark/>
          </w:tcPr>
          <w:p w14:paraId="6244E674" w14:textId="77777777" w:rsidR="00022954" w:rsidRPr="007E4833" w:rsidRDefault="00022954" w:rsidP="007E4833">
            <w:pPr>
              <w:jc w:val="both"/>
              <w:rPr>
                <w:rFonts w:cstheme="minorHAnsi"/>
                <w:b/>
                <w:bCs/>
                <w:sz w:val="16"/>
                <w:szCs w:val="16"/>
              </w:rPr>
            </w:pPr>
            <w:r w:rsidRPr="007E4833">
              <w:rPr>
                <w:rFonts w:cstheme="minorHAnsi"/>
                <w:b/>
                <w:bCs/>
                <w:sz w:val="16"/>
                <w:szCs w:val="16"/>
              </w:rPr>
              <w:t xml:space="preserve">Reorg Pass Through Fees </w:t>
            </w:r>
          </w:p>
        </w:tc>
        <w:tc>
          <w:tcPr>
            <w:tcW w:w="5440" w:type="dxa"/>
            <w:tcBorders>
              <w:top w:val="nil"/>
              <w:left w:val="nil"/>
              <w:bottom w:val="single" w:sz="8" w:space="0" w:color="auto"/>
              <w:right w:val="single" w:sz="8" w:space="0" w:color="auto"/>
            </w:tcBorders>
            <w:shd w:val="clear" w:color="auto" w:fill="538DD5"/>
            <w:tcMar>
              <w:top w:w="0" w:type="dxa"/>
              <w:left w:w="108" w:type="dxa"/>
              <w:bottom w:w="0" w:type="dxa"/>
              <w:right w:w="108" w:type="dxa"/>
            </w:tcMar>
            <w:vAlign w:val="bottom"/>
            <w:hideMark/>
          </w:tcPr>
          <w:p w14:paraId="0849D78C" w14:textId="77777777" w:rsidR="00022954" w:rsidRPr="007E4833" w:rsidRDefault="00022954" w:rsidP="007E4833">
            <w:pPr>
              <w:jc w:val="both"/>
              <w:rPr>
                <w:rFonts w:cstheme="minorHAnsi"/>
                <w:sz w:val="20"/>
                <w:szCs w:val="20"/>
              </w:rPr>
            </w:pPr>
            <w:r w:rsidRPr="007E4833">
              <w:rPr>
                <w:rFonts w:cstheme="minorHAnsi"/>
                <w:sz w:val="20"/>
                <w:szCs w:val="20"/>
              </w:rPr>
              <w:t> </w:t>
            </w:r>
          </w:p>
        </w:tc>
      </w:tr>
      <w:tr w:rsidR="00022954" w:rsidRPr="007E4833" w14:paraId="096E7768" w14:textId="77777777" w:rsidTr="001372B3">
        <w:trPr>
          <w:trHeight w:val="450"/>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2F05028" w14:textId="6F5EB78F" w:rsidR="00022954" w:rsidRPr="007E4833" w:rsidRDefault="00683EA3" w:rsidP="007E4833">
            <w:pPr>
              <w:jc w:val="both"/>
              <w:rPr>
                <w:rFonts w:cstheme="minorHAnsi"/>
                <w:sz w:val="16"/>
                <w:szCs w:val="16"/>
              </w:rPr>
            </w:pPr>
            <w:r w:rsidRPr="007E4833">
              <w:rPr>
                <w:rFonts w:cstheme="minorHAnsi"/>
                <w:sz w:val="16"/>
                <w:szCs w:val="16"/>
              </w:rPr>
              <w:t>ADR Pass</w:t>
            </w:r>
            <w:r w:rsidR="00022954" w:rsidRPr="007E4833">
              <w:rPr>
                <w:rFonts w:cstheme="minorHAnsi"/>
                <w:sz w:val="16"/>
                <w:szCs w:val="16"/>
              </w:rPr>
              <w:t>-Through Fees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3FFA34" w14:textId="77777777" w:rsidR="00022954" w:rsidRPr="007E4833" w:rsidRDefault="00022954" w:rsidP="007E4833">
            <w:pPr>
              <w:jc w:val="both"/>
              <w:rPr>
                <w:rFonts w:cstheme="minorHAnsi"/>
                <w:sz w:val="16"/>
                <w:szCs w:val="16"/>
              </w:rPr>
            </w:pPr>
            <w:r w:rsidRPr="007E4833">
              <w:rPr>
                <w:rFonts w:cstheme="minorHAnsi"/>
                <w:sz w:val="16"/>
                <w:szCs w:val="16"/>
              </w:rPr>
              <w:t>As passed by the ADR agent bank. Generally ($0.01 - $0.03) per share</w:t>
            </w:r>
          </w:p>
        </w:tc>
      </w:tr>
      <w:tr w:rsidR="00022954" w:rsidRPr="007E4833" w14:paraId="0FE7773B"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DE79470" w14:textId="77777777" w:rsidR="00022954" w:rsidRPr="007E4833" w:rsidRDefault="00022954" w:rsidP="007E4833">
            <w:pPr>
              <w:jc w:val="both"/>
              <w:rPr>
                <w:rFonts w:cstheme="minorHAnsi"/>
                <w:sz w:val="16"/>
                <w:szCs w:val="16"/>
              </w:rPr>
            </w:pPr>
            <w:r w:rsidRPr="007E4833">
              <w:rPr>
                <w:rFonts w:cstheme="minorHAnsi"/>
                <w:sz w:val="16"/>
                <w:szCs w:val="16"/>
              </w:rPr>
              <w:t xml:space="preserve">Voluntary Corporate Action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368DB6" w14:textId="77777777" w:rsidR="00022954" w:rsidRPr="007E4833" w:rsidRDefault="00022954" w:rsidP="007E4833">
            <w:pPr>
              <w:jc w:val="both"/>
              <w:rPr>
                <w:rFonts w:cstheme="minorHAnsi"/>
                <w:sz w:val="16"/>
                <w:szCs w:val="16"/>
              </w:rPr>
            </w:pPr>
            <w:r w:rsidRPr="007E4833">
              <w:rPr>
                <w:rFonts w:cstheme="minorHAnsi"/>
                <w:sz w:val="16"/>
                <w:szCs w:val="16"/>
              </w:rPr>
              <w:t>$50 per event</w:t>
            </w:r>
          </w:p>
        </w:tc>
      </w:tr>
      <w:tr w:rsidR="00022954" w:rsidRPr="007E4833" w14:paraId="658EF24D"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D5CC6E" w14:textId="77777777" w:rsidR="00022954" w:rsidRPr="007E4833" w:rsidRDefault="00022954" w:rsidP="007E4833">
            <w:pPr>
              <w:jc w:val="both"/>
              <w:rPr>
                <w:rFonts w:cstheme="minorHAnsi"/>
                <w:sz w:val="16"/>
                <w:szCs w:val="16"/>
              </w:rPr>
            </w:pPr>
            <w:r w:rsidRPr="007E4833">
              <w:rPr>
                <w:rFonts w:cstheme="minorHAnsi"/>
                <w:sz w:val="16"/>
                <w:szCs w:val="16"/>
              </w:rPr>
              <w:t xml:space="preserve">Mandatory Corporate Action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106211" w14:textId="77777777" w:rsidR="00022954" w:rsidRPr="007E4833" w:rsidRDefault="00022954" w:rsidP="007E4833">
            <w:pPr>
              <w:jc w:val="both"/>
              <w:rPr>
                <w:rFonts w:cstheme="minorHAnsi"/>
                <w:sz w:val="16"/>
                <w:szCs w:val="16"/>
              </w:rPr>
            </w:pPr>
            <w:r w:rsidRPr="007E4833">
              <w:rPr>
                <w:rFonts w:cstheme="minorHAnsi"/>
                <w:sz w:val="16"/>
                <w:szCs w:val="16"/>
              </w:rPr>
              <w:t>$30 per event</w:t>
            </w:r>
          </w:p>
        </w:tc>
      </w:tr>
      <w:tr w:rsidR="00022954" w:rsidRPr="007E4833" w14:paraId="61BA0692"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7F262CB" w14:textId="77777777" w:rsidR="00022954" w:rsidRPr="007E4833" w:rsidRDefault="00022954" w:rsidP="007E4833">
            <w:pPr>
              <w:jc w:val="both"/>
              <w:rPr>
                <w:rFonts w:cstheme="minorHAnsi"/>
                <w:sz w:val="16"/>
                <w:szCs w:val="16"/>
              </w:rPr>
            </w:pPr>
            <w:r w:rsidRPr="007E4833">
              <w:rPr>
                <w:rFonts w:cstheme="minorHAnsi"/>
                <w:sz w:val="16"/>
                <w:szCs w:val="16"/>
              </w:rPr>
              <w:t xml:space="preserve">Bond Maturity/Redemption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C4D205" w14:textId="77777777" w:rsidR="00022954" w:rsidRPr="007E4833" w:rsidRDefault="00022954" w:rsidP="007E4833">
            <w:pPr>
              <w:jc w:val="both"/>
              <w:rPr>
                <w:rFonts w:cstheme="minorHAnsi"/>
                <w:sz w:val="16"/>
                <w:szCs w:val="16"/>
              </w:rPr>
            </w:pPr>
            <w:r w:rsidRPr="007E4833">
              <w:rPr>
                <w:rFonts w:cstheme="minorHAnsi"/>
                <w:sz w:val="16"/>
                <w:szCs w:val="16"/>
              </w:rPr>
              <w:t>$20 per event</w:t>
            </w:r>
          </w:p>
        </w:tc>
      </w:tr>
      <w:tr w:rsidR="00022954" w:rsidRPr="007E4833" w14:paraId="7D0BEC5E"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9AF970" w14:textId="77777777" w:rsidR="00022954" w:rsidRPr="007E4833" w:rsidRDefault="00022954" w:rsidP="007E4833">
            <w:pPr>
              <w:jc w:val="both"/>
              <w:rPr>
                <w:rFonts w:cstheme="minorHAnsi"/>
                <w:sz w:val="16"/>
                <w:szCs w:val="16"/>
              </w:rPr>
            </w:pPr>
            <w:r w:rsidRPr="007E4833">
              <w:rPr>
                <w:rFonts w:cstheme="minorHAnsi"/>
                <w:sz w:val="16"/>
                <w:szCs w:val="16"/>
              </w:rPr>
              <w:t xml:space="preserve">Stock Mandatory Redemption (position exited out of DTC)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6014D5" w14:textId="77777777" w:rsidR="00022954" w:rsidRPr="007E4833" w:rsidRDefault="00022954" w:rsidP="007E4833">
            <w:pPr>
              <w:jc w:val="both"/>
              <w:rPr>
                <w:rFonts w:cstheme="minorHAnsi"/>
                <w:sz w:val="16"/>
                <w:szCs w:val="16"/>
              </w:rPr>
            </w:pPr>
            <w:r w:rsidRPr="007E4833">
              <w:rPr>
                <w:rFonts w:cstheme="minorHAnsi"/>
                <w:sz w:val="16"/>
                <w:szCs w:val="16"/>
              </w:rPr>
              <w:t>$40</w:t>
            </w:r>
          </w:p>
        </w:tc>
      </w:tr>
      <w:tr w:rsidR="00022954" w:rsidRPr="007E4833" w14:paraId="72036B7F"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D77CCCE" w14:textId="77777777" w:rsidR="00022954" w:rsidRPr="007E4833" w:rsidRDefault="00022954" w:rsidP="007E4833">
            <w:pPr>
              <w:jc w:val="both"/>
              <w:rPr>
                <w:rFonts w:cstheme="minorHAnsi"/>
                <w:sz w:val="16"/>
                <w:szCs w:val="16"/>
              </w:rPr>
            </w:pPr>
            <w:r w:rsidRPr="007E4833">
              <w:rPr>
                <w:rFonts w:cstheme="minorHAnsi"/>
                <w:sz w:val="16"/>
                <w:szCs w:val="16"/>
              </w:rPr>
              <w:t>Manual Option Exercise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F8E204" w14:textId="77777777" w:rsidR="00022954" w:rsidRPr="007E4833" w:rsidRDefault="00022954" w:rsidP="007E4833">
            <w:pPr>
              <w:jc w:val="both"/>
              <w:rPr>
                <w:rFonts w:cstheme="minorHAnsi"/>
                <w:sz w:val="16"/>
                <w:szCs w:val="16"/>
              </w:rPr>
            </w:pPr>
            <w:r w:rsidRPr="007E4833">
              <w:rPr>
                <w:rFonts w:cstheme="minorHAnsi"/>
                <w:sz w:val="16"/>
                <w:szCs w:val="16"/>
              </w:rPr>
              <w:t>$5 per exercise request</w:t>
            </w:r>
          </w:p>
        </w:tc>
      </w:tr>
      <w:tr w:rsidR="00022954" w:rsidRPr="007E4833" w14:paraId="00042A7E" w14:textId="77777777" w:rsidTr="001372B3">
        <w:trPr>
          <w:trHeight w:val="450"/>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83FE23F" w14:textId="77777777" w:rsidR="00022954" w:rsidRPr="007E4833" w:rsidRDefault="00022954" w:rsidP="007E4833">
            <w:pPr>
              <w:jc w:val="both"/>
              <w:rPr>
                <w:rFonts w:cstheme="minorHAnsi"/>
                <w:sz w:val="16"/>
                <w:szCs w:val="16"/>
              </w:rPr>
            </w:pPr>
            <w:r w:rsidRPr="007E4833">
              <w:rPr>
                <w:rFonts w:cstheme="minorHAnsi"/>
                <w:sz w:val="16"/>
                <w:szCs w:val="16"/>
              </w:rPr>
              <w:t>Worthless/Delisted or Non-Transferable Securities Written off</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D74F26" w14:textId="77777777" w:rsidR="00022954" w:rsidRPr="007E4833" w:rsidRDefault="00022954" w:rsidP="007E4833">
            <w:pPr>
              <w:jc w:val="both"/>
              <w:rPr>
                <w:rFonts w:cstheme="minorHAnsi"/>
                <w:sz w:val="16"/>
                <w:szCs w:val="16"/>
              </w:rPr>
            </w:pPr>
            <w:r w:rsidRPr="007E4833">
              <w:rPr>
                <w:rFonts w:cstheme="minorHAnsi"/>
                <w:sz w:val="16"/>
                <w:szCs w:val="16"/>
              </w:rPr>
              <w:t>$5 per write off</w:t>
            </w:r>
          </w:p>
        </w:tc>
      </w:tr>
      <w:tr w:rsidR="00022954" w:rsidRPr="007E4833" w14:paraId="0E022425"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DED467" w14:textId="77777777" w:rsidR="00022954" w:rsidRPr="007E4833" w:rsidRDefault="00022954" w:rsidP="007E4833">
            <w:pPr>
              <w:jc w:val="both"/>
              <w:rPr>
                <w:rFonts w:cstheme="minorHAnsi"/>
                <w:sz w:val="16"/>
                <w:szCs w:val="16"/>
              </w:rPr>
            </w:pPr>
            <w:r w:rsidRPr="007E4833">
              <w:rPr>
                <w:rFonts w:cstheme="minorHAnsi"/>
                <w:sz w:val="16"/>
                <w:szCs w:val="16"/>
              </w:rPr>
              <w:t>Account Inactivity Fee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8748D7" w14:textId="77777777" w:rsidR="00022954" w:rsidRPr="007E4833" w:rsidRDefault="00022954" w:rsidP="007E4833">
            <w:pPr>
              <w:jc w:val="both"/>
              <w:rPr>
                <w:rFonts w:cstheme="minorHAnsi"/>
                <w:color w:val="000000"/>
                <w:sz w:val="16"/>
                <w:szCs w:val="16"/>
              </w:rPr>
            </w:pPr>
            <w:r w:rsidRPr="007E4833">
              <w:rPr>
                <w:rFonts w:cstheme="minorHAnsi"/>
                <w:color w:val="000000"/>
                <w:sz w:val="16"/>
                <w:szCs w:val="16"/>
              </w:rPr>
              <w:t>$15 quarterly</w:t>
            </w:r>
          </w:p>
        </w:tc>
      </w:tr>
      <w:tr w:rsidR="00022954" w:rsidRPr="007E4833" w14:paraId="34344253" w14:textId="77777777" w:rsidTr="001372B3">
        <w:trPr>
          <w:trHeight w:val="255"/>
        </w:trPr>
        <w:tc>
          <w:tcPr>
            <w:tcW w:w="4720" w:type="dxa"/>
            <w:tcBorders>
              <w:left w:val="single" w:sz="4" w:space="0" w:color="auto"/>
            </w:tcBorders>
            <w:noWrap/>
            <w:tcMar>
              <w:top w:w="0" w:type="dxa"/>
              <w:left w:w="108" w:type="dxa"/>
              <w:bottom w:w="0" w:type="dxa"/>
              <w:right w:w="108" w:type="dxa"/>
            </w:tcMar>
            <w:vAlign w:val="bottom"/>
            <w:hideMark/>
          </w:tcPr>
          <w:p w14:paraId="03315039" w14:textId="77777777" w:rsidR="00022954" w:rsidRPr="007E4833" w:rsidRDefault="00022954" w:rsidP="007E4833">
            <w:pPr>
              <w:jc w:val="both"/>
              <w:rPr>
                <w:rFonts w:cstheme="minorHAnsi"/>
                <w:sz w:val="16"/>
                <w:szCs w:val="16"/>
              </w:rPr>
            </w:pPr>
            <w:r w:rsidRPr="007E4833">
              <w:rPr>
                <w:rFonts w:cstheme="minorHAnsi"/>
                <w:sz w:val="16"/>
                <w:szCs w:val="16"/>
              </w:rPr>
              <w:t>NASDAQ Risk Management Fee (if applicable)</w:t>
            </w:r>
          </w:p>
        </w:tc>
        <w:tc>
          <w:tcPr>
            <w:tcW w:w="5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DF57B4" w14:textId="77777777" w:rsidR="00022954" w:rsidRPr="007E4833" w:rsidRDefault="00022954" w:rsidP="007E4833">
            <w:pPr>
              <w:jc w:val="both"/>
              <w:rPr>
                <w:rFonts w:cstheme="minorHAnsi"/>
                <w:sz w:val="16"/>
                <w:szCs w:val="16"/>
              </w:rPr>
            </w:pPr>
            <w:r w:rsidRPr="007E4833">
              <w:rPr>
                <w:rFonts w:cstheme="minorHAnsi"/>
                <w:sz w:val="16"/>
                <w:szCs w:val="16"/>
              </w:rPr>
              <w:t>$500 per month</w:t>
            </w:r>
          </w:p>
        </w:tc>
      </w:tr>
      <w:tr w:rsidR="00022954" w:rsidRPr="007E4833" w14:paraId="21B3E05E" w14:textId="77777777" w:rsidTr="001372B3">
        <w:trPr>
          <w:trHeight w:val="255"/>
        </w:trPr>
        <w:tc>
          <w:tcPr>
            <w:tcW w:w="4720" w:type="dxa"/>
            <w:tcBorders>
              <w:top w:val="single" w:sz="8" w:space="0" w:color="auto"/>
              <w:left w:val="single" w:sz="8" w:space="0" w:color="auto"/>
              <w:bottom w:val="single" w:sz="8" w:space="0" w:color="auto"/>
              <w:right w:val="single" w:sz="8" w:space="0" w:color="auto"/>
            </w:tcBorders>
            <w:shd w:val="clear" w:color="auto" w:fill="538DD5"/>
            <w:tcMar>
              <w:top w:w="0" w:type="dxa"/>
              <w:left w:w="108" w:type="dxa"/>
              <w:bottom w:w="0" w:type="dxa"/>
              <w:right w:w="108" w:type="dxa"/>
            </w:tcMar>
            <w:vAlign w:val="bottom"/>
            <w:hideMark/>
          </w:tcPr>
          <w:p w14:paraId="53E141E4" w14:textId="77777777" w:rsidR="00022954" w:rsidRPr="007E4833" w:rsidRDefault="00022954" w:rsidP="007E4833">
            <w:pPr>
              <w:jc w:val="both"/>
              <w:rPr>
                <w:rFonts w:cstheme="minorHAnsi"/>
                <w:b/>
                <w:bCs/>
                <w:sz w:val="16"/>
                <w:szCs w:val="16"/>
              </w:rPr>
            </w:pPr>
            <w:r w:rsidRPr="007E4833">
              <w:rPr>
                <w:rFonts w:cstheme="minorHAnsi"/>
                <w:b/>
                <w:bCs/>
                <w:sz w:val="16"/>
                <w:szCs w:val="16"/>
              </w:rPr>
              <w:t>Trading</w:t>
            </w:r>
          </w:p>
        </w:tc>
        <w:tc>
          <w:tcPr>
            <w:tcW w:w="5440" w:type="dxa"/>
            <w:tcBorders>
              <w:top w:val="nil"/>
              <w:left w:val="nil"/>
              <w:bottom w:val="single" w:sz="8" w:space="0" w:color="auto"/>
              <w:right w:val="single" w:sz="8" w:space="0" w:color="auto"/>
            </w:tcBorders>
            <w:shd w:val="clear" w:color="auto" w:fill="538DD5"/>
            <w:tcMar>
              <w:top w:w="0" w:type="dxa"/>
              <w:left w:w="108" w:type="dxa"/>
              <w:bottom w:w="0" w:type="dxa"/>
              <w:right w:w="108" w:type="dxa"/>
            </w:tcMar>
            <w:vAlign w:val="bottom"/>
            <w:hideMark/>
          </w:tcPr>
          <w:p w14:paraId="03A9BC92" w14:textId="77777777" w:rsidR="00022954" w:rsidRPr="007E4833" w:rsidRDefault="00022954" w:rsidP="007E4833">
            <w:pPr>
              <w:jc w:val="both"/>
              <w:rPr>
                <w:rFonts w:cstheme="minorHAnsi"/>
                <w:sz w:val="20"/>
                <w:szCs w:val="20"/>
              </w:rPr>
            </w:pPr>
            <w:r w:rsidRPr="007E4833">
              <w:rPr>
                <w:rFonts w:cstheme="minorHAnsi"/>
                <w:sz w:val="20"/>
                <w:szCs w:val="20"/>
              </w:rPr>
              <w:t> </w:t>
            </w:r>
          </w:p>
        </w:tc>
      </w:tr>
      <w:tr w:rsidR="00022954" w:rsidRPr="007E4833" w14:paraId="3C4B1DC6"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B339E3" w14:textId="77777777" w:rsidR="00022954" w:rsidRPr="007E4833" w:rsidRDefault="00022954" w:rsidP="007E4833">
            <w:pPr>
              <w:jc w:val="both"/>
              <w:rPr>
                <w:rFonts w:cstheme="minorHAnsi"/>
                <w:sz w:val="16"/>
                <w:szCs w:val="16"/>
              </w:rPr>
            </w:pPr>
            <w:r w:rsidRPr="007E4833">
              <w:rPr>
                <w:rFonts w:cstheme="minorHAnsi"/>
                <w:sz w:val="16"/>
                <w:szCs w:val="16"/>
              </w:rPr>
              <w:lastRenderedPageBreak/>
              <w:t>Errors (cancel &amp; rebill) Mutual fund Transactions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C074BB" w14:textId="77777777" w:rsidR="00022954" w:rsidRPr="007E4833" w:rsidRDefault="00022954" w:rsidP="007E4833">
            <w:pPr>
              <w:jc w:val="both"/>
              <w:rPr>
                <w:rFonts w:cstheme="minorHAnsi"/>
                <w:sz w:val="16"/>
                <w:szCs w:val="16"/>
              </w:rPr>
            </w:pPr>
            <w:r w:rsidRPr="007E4833">
              <w:rPr>
                <w:rFonts w:cstheme="minorHAnsi"/>
                <w:sz w:val="16"/>
                <w:szCs w:val="16"/>
              </w:rPr>
              <w:t>$15 per error</w:t>
            </w:r>
          </w:p>
        </w:tc>
      </w:tr>
      <w:tr w:rsidR="00022954" w:rsidRPr="007E4833" w14:paraId="7B39B4D3"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C207BA" w14:textId="77777777" w:rsidR="00022954" w:rsidRPr="007E4833" w:rsidRDefault="00022954" w:rsidP="007E4833">
            <w:pPr>
              <w:jc w:val="both"/>
              <w:rPr>
                <w:rFonts w:cstheme="minorHAnsi"/>
                <w:sz w:val="16"/>
                <w:szCs w:val="16"/>
              </w:rPr>
            </w:pPr>
            <w:r w:rsidRPr="007E4833">
              <w:rPr>
                <w:rFonts w:cstheme="minorHAnsi"/>
                <w:sz w:val="16"/>
                <w:szCs w:val="16"/>
              </w:rPr>
              <w:t>Errors (cancel &amp; rebill)</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AF3965" w14:textId="77777777" w:rsidR="00022954" w:rsidRPr="007E4833" w:rsidRDefault="00022954" w:rsidP="007E4833">
            <w:pPr>
              <w:jc w:val="both"/>
              <w:rPr>
                <w:rFonts w:cstheme="minorHAnsi"/>
                <w:sz w:val="16"/>
                <w:szCs w:val="16"/>
              </w:rPr>
            </w:pPr>
            <w:r w:rsidRPr="007E4833">
              <w:rPr>
                <w:rFonts w:cstheme="minorHAnsi"/>
                <w:sz w:val="16"/>
                <w:szCs w:val="16"/>
              </w:rPr>
              <w:t>$2 per error</w:t>
            </w:r>
          </w:p>
        </w:tc>
      </w:tr>
      <w:tr w:rsidR="00022954" w:rsidRPr="007E4833" w14:paraId="153B7BFF"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DAFA63" w14:textId="77777777" w:rsidR="00022954" w:rsidRPr="007E4833" w:rsidRDefault="00022954" w:rsidP="007E4833">
            <w:pPr>
              <w:jc w:val="both"/>
              <w:rPr>
                <w:rFonts w:cstheme="minorHAnsi"/>
                <w:sz w:val="16"/>
                <w:szCs w:val="16"/>
              </w:rPr>
            </w:pPr>
            <w:r w:rsidRPr="007E4833">
              <w:rPr>
                <w:rFonts w:cstheme="minorHAnsi"/>
                <w:sz w:val="16"/>
                <w:szCs w:val="16"/>
              </w:rPr>
              <w:t>Order Handling Fee (Call the order Desk)</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C48BFF" w14:textId="77777777" w:rsidR="00022954" w:rsidRPr="007E4833" w:rsidRDefault="00022954" w:rsidP="007E4833">
            <w:pPr>
              <w:jc w:val="both"/>
              <w:rPr>
                <w:rFonts w:cstheme="minorHAnsi"/>
                <w:sz w:val="16"/>
                <w:szCs w:val="16"/>
              </w:rPr>
            </w:pPr>
            <w:r w:rsidRPr="007E4833">
              <w:rPr>
                <w:rFonts w:cstheme="minorHAnsi"/>
                <w:sz w:val="16"/>
                <w:szCs w:val="16"/>
              </w:rPr>
              <w:t>$10</w:t>
            </w:r>
          </w:p>
        </w:tc>
      </w:tr>
      <w:tr w:rsidR="00022954" w:rsidRPr="007E4833" w14:paraId="687AE443"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610AE9E" w14:textId="77777777" w:rsidR="00022954" w:rsidRPr="007E4833" w:rsidRDefault="00022954" w:rsidP="007E4833">
            <w:pPr>
              <w:jc w:val="both"/>
              <w:rPr>
                <w:rFonts w:cstheme="minorHAnsi"/>
                <w:sz w:val="16"/>
                <w:szCs w:val="16"/>
              </w:rPr>
            </w:pPr>
            <w:r w:rsidRPr="007E4833">
              <w:rPr>
                <w:rFonts w:cstheme="minorHAnsi"/>
                <w:sz w:val="16"/>
                <w:szCs w:val="16"/>
              </w:rPr>
              <w:t>As of Trades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07BA17" w14:textId="77777777" w:rsidR="00022954" w:rsidRPr="007E4833" w:rsidRDefault="00022954" w:rsidP="007E4833">
            <w:pPr>
              <w:jc w:val="both"/>
              <w:rPr>
                <w:rFonts w:cstheme="minorHAnsi"/>
                <w:sz w:val="16"/>
                <w:szCs w:val="16"/>
              </w:rPr>
            </w:pPr>
            <w:r w:rsidRPr="007E4833">
              <w:rPr>
                <w:rFonts w:cstheme="minorHAnsi"/>
                <w:sz w:val="16"/>
                <w:szCs w:val="16"/>
              </w:rPr>
              <w:t>$10 per trade</w:t>
            </w:r>
          </w:p>
        </w:tc>
      </w:tr>
      <w:tr w:rsidR="00022954" w:rsidRPr="007E4833" w14:paraId="64860300"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D93CB5C" w14:textId="77777777" w:rsidR="00022954" w:rsidRPr="007E4833" w:rsidRDefault="00022954" w:rsidP="007E4833">
            <w:pPr>
              <w:jc w:val="both"/>
              <w:rPr>
                <w:rFonts w:cstheme="minorHAnsi"/>
                <w:sz w:val="16"/>
                <w:szCs w:val="16"/>
              </w:rPr>
            </w:pPr>
            <w:r w:rsidRPr="007E4833">
              <w:rPr>
                <w:rFonts w:cstheme="minorHAnsi"/>
                <w:sz w:val="16"/>
                <w:szCs w:val="16"/>
              </w:rPr>
              <w:t>Unauthorized Short Sales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ED6D47" w14:textId="77777777" w:rsidR="00022954" w:rsidRPr="007E4833" w:rsidRDefault="00022954" w:rsidP="007E4833">
            <w:pPr>
              <w:jc w:val="both"/>
              <w:rPr>
                <w:rFonts w:cstheme="minorHAnsi"/>
                <w:sz w:val="16"/>
                <w:szCs w:val="16"/>
              </w:rPr>
            </w:pPr>
            <w:r w:rsidRPr="007E4833">
              <w:rPr>
                <w:rFonts w:cstheme="minorHAnsi"/>
                <w:sz w:val="16"/>
                <w:szCs w:val="16"/>
              </w:rPr>
              <w:t>$200 per event</w:t>
            </w:r>
          </w:p>
        </w:tc>
      </w:tr>
      <w:tr w:rsidR="00022954" w:rsidRPr="007E4833" w14:paraId="6DE627A3"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2DF869" w14:textId="77777777" w:rsidR="00022954" w:rsidRPr="007E4833" w:rsidRDefault="00022954" w:rsidP="007E4833">
            <w:pPr>
              <w:jc w:val="both"/>
              <w:rPr>
                <w:rFonts w:cstheme="minorHAnsi"/>
                <w:sz w:val="16"/>
                <w:szCs w:val="16"/>
              </w:rPr>
            </w:pPr>
            <w:r w:rsidRPr="007E4833">
              <w:rPr>
                <w:rFonts w:cstheme="minorHAnsi"/>
                <w:sz w:val="16"/>
                <w:szCs w:val="16"/>
              </w:rPr>
              <w:t>NSCC Clearing Fees (Equities, Corp, Munis)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9F8CB6" w14:textId="77777777" w:rsidR="00022954" w:rsidRPr="007E4833" w:rsidRDefault="00022954" w:rsidP="007E4833">
            <w:pPr>
              <w:jc w:val="both"/>
              <w:rPr>
                <w:rFonts w:cstheme="minorHAnsi"/>
                <w:sz w:val="16"/>
                <w:szCs w:val="16"/>
              </w:rPr>
            </w:pPr>
            <w:r w:rsidRPr="007E4833">
              <w:rPr>
                <w:rFonts w:cstheme="minorHAnsi"/>
                <w:sz w:val="16"/>
                <w:szCs w:val="16"/>
              </w:rPr>
              <w:t>$0.25 per trade (billed directly to clients at the transaction level)</w:t>
            </w:r>
          </w:p>
        </w:tc>
      </w:tr>
      <w:tr w:rsidR="00022954" w:rsidRPr="007E4833" w14:paraId="2ECBE940"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8B8C6E" w14:textId="77777777" w:rsidR="00022954" w:rsidRPr="007E4833" w:rsidRDefault="00022954" w:rsidP="007E4833">
            <w:pPr>
              <w:jc w:val="both"/>
              <w:rPr>
                <w:rFonts w:cstheme="minorHAnsi"/>
                <w:sz w:val="16"/>
                <w:szCs w:val="16"/>
              </w:rPr>
            </w:pPr>
            <w:r w:rsidRPr="007E4833">
              <w:rPr>
                <w:rFonts w:cstheme="minorHAnsi"/>
                <w:sz w:val="16"/>
                <w:szCs w:val="16"/>
              </w:rPr>
              <w:t>ORF Fees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97274F" w14:textId="77777777" w:rsidR="00022954" w:rsidRPr="007E4833" w:rsidRDefault="00022954" w:rsidP="007E4833">
            <w:pPr>
              <w:jc w:val="both"/>
              <w:rPr>
                <w:rFonts w:cstheme="minorHAnsi"/>
                <w:sz w:val="16"/>
                <w:szCs w:val="16"/>
              </w:rPr>
            </w:pPr>
            <w:r w:rsidRPr="007E4833">
              <w:rPr>
                <w:rFonts w:cstheme="minorHAnsi"/>
                <w:sz w:val="16"/>
                <w:szCs w:val="16"/>
              </w:rPr>
              <w:t>AT COST</w:t>
            </w:r>
          </w:p>
        </w:tc>
      </w:tr>
      <w:tr w:rsidR="00022954" w:rsidRPr="007E4833" w14:paraId="49F7AA67"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C01723" w14:textId="77777777" w:rsidR="00022954" w:rsidRPr="007E4833" w:rsidRDefault="00022954" w:rsidP="007E4833">
            <w:pPr>
              <w:jc w:val="both"/>
              <w:rPr>
                <w:rFonts w:cstheme="minorHAnsi"/>
                <w:sz w:val="16"/>
                <w:szCs w:val="16"/>
              </w:rPr>
            </w:pPr>
            <w:r w:rsidRPr="007E4833">
              <w:rPr>
                <w:rFonts w:cstheme="minorHAnsi"/>
                <w:sz w:val="16"/>
                <w:szCs w:val="16"/>
              </w:rPr>
              <w:t>SEC Fees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448037" w14:textId="77777777" w:rsidR="00022954" w:rsidRPr="007E4833" w:rsidRDefault="00022954" w:rsidP="007E4833">
            <w:pPr>
              <w:jc w:val="both"/>
              <w:rPr>
                <w:rFonts w:cstheme="minorHAnsi"/>
                <w:sz w:val="16"/>
                <w:szCs w:val="16"/>
              </w:rPr>
            </w:pPr>
            <w:r w:rsidRPr="007E4833">
              <w:rPr>
                <w:rFonts w:cstheme="minorHAnsi"/>
                <w:sz w:val="16"/>
                <w:szCs w:val="16"/>
              </w:rPr>
              <w:t>AT COST</w:t>
            </w:r>
          </w:p>
        </w:tc>
      </w:tr>
      <w:tr w:rsidR="00022954" w:rsidRPr="007E4833" w14:paraId="62A2F4FC"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5104E3" w14:textId="77777777" w:rsidR="00022954" w:rsidRPr="007E4833" w:rsidRDefault="00022954" w:rsidP="007E4833">
            <w:pPr>
              <w:jc w:val="both"/>
              <w:rPr>
                <w:rFonts w:cstheme="minorHAnsi"/>
                <w:sz w:val="16"/>
                <w:szCs w:val="16"/>
              </w:rPr>
            </w:pPr>
            <w:r w:rsidRPr="007E4833">
              <w:rPr>
                <w:rFonts w:cstheme="minorHAnsi"/>
                <w:sz w:val="16"/>
                <w:szCs w:val="16"/>
              </w:rPr>
              <w:t>FINRA TAF</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355FA4" w14:textId="77777777" w:rsidR="00022954" w:rsidRPr="007E4833" w:rsidRDefault="00022954" w:rsidP="007E4833">
            <w:pPr>
              <w:jc w:val="both"/>
              <w:rPr>
                <w:rFonts w:cstheme="minorHAnsi"/>
                <w:sz w:val="16"/>
                <w:szCs w:val="16"/>
              </w:rPr>
            </w:pPr>
            <w:r w:rsidRPr="007E4833">
              <w:rPr>
                <w:rFonts w:cstheme="minorHAnsi"/>
                <w:sz w:val="16"/>
                <w:szCs w:val="16"/>
              </w:rPr>
              <w:t>AT COST</w:t>
            </w:r>
          </w:p>
        </w:tc>
      </w:tr>
      <w:tr w:rsidR="00022954" w:rsidRPr="007E4833" w14:paraId="048FA210"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9D62A8" w14:textId="77777777" w:rsidR="00022954" w:rsidRPr="007E4833" w:rsidRDefault="00022954" w:rsidP="007E4833">
            <w:pPr>
              <w:jc w:val="both"/>
              <w:rPr>
                <w:rFonts w:cstheme="minorHAnsi"/>
                <w:sz w:val="16"/>
                <w:szCs w:val="16"/>
              </w:rPr>
            </w:pPr>
            <w:r w:rsidRPr="007E4833">
              <w:rPr>
                <w:rFonts w:cstheme="minorHAnsi"/>
                <w:sz w:val="16"/>
                <w:szCs w:val="16"/>
              </w:rPr>
              <w:t>OCC Clearing Fee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DE8B37" w14:textId="77777777" w:rsidR="00022954" w:rsidRPr="007E4833" w:rsidRDefault="00022954" w:rsidP="007E4833">
            <w:pPr>
              <w:jc w:val="both"/>
              <w:rPr>
                <w:rFonts w:cstheme="minorHAnsi"/>
                <w:sz w:val="16"/>
                <w:szCs w:val="16"/>
              </w:rPr>
            </w:pPr>
            <w:r w:rsidRPr="007E4833">
              <w:rPr>
                <w:rFonts w:cstheme="minorHAnsi"/>
                <w:sz w:val="16"/>
                <w:szCs w:val="16"/>
              </w:rPr>
              <w:t>AT COST</w:t>
            </w:r>
          </w:p>
        </w:tc>
      </w:tr>
      <w:tr w:rsidR="00022954" w:rsidRPr="007E4833" w14:paraId="309C3C1E" w14:textId="77777777" w:rsidTr="001372B3">
        <w:trPr>
          <w:trHeight w:val="255"/>
        </w:trPr>
        <w:tc>
          <w:tcPr>
            <w:tcW w:w="47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48F491" w14:textId="77777777" w:rsidR="00022954" w:rsidRPr="007E4833" w:rsidRDefault="00022954" w:rsidP="007E4833">
            <w:pPr>
              <w:jc w:val="both"/>
              <w:rPr>
                <w:rFonts w:cstheme="minorHAnsi"/>
                <w:sz w:val="16"/>
                <w:szCs w:val="16"/>
              </w:rPr>
            </w:pPr>
            <w:r w:rsidRPr="007E4833">
              <w:rPr>
                <w:rFonts w:cstheme="minorHAnsi"/>
                <w:sz w:val="16"/>
                <w:szCs w:val="16"/>
              </w:rPr>
              <w:t>Options Exchange Fees - Index</w:t>
            </w:r>
          </w:p>
        </w:tc>
        <w:tc>
          <w:tcPr>
            <w:tcW w:w="5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2ADB0D5C" w14:textId="77777777" w:rsidR="00022954" w:rsidRPr="007E4833" w:rsidRDefault="00022954" w:rsidP="007E4833">
            <w:pPr>
              <w:jc w:val="both"/>
              <w:rPr>
                <w:rFonts w:cstheme="minorHAnsi"/>
                <w:sz w:val="16"/>
                <w:szCs w:val="16"/>
              </w:rPr>
            </w:pPr>
            <w:r w:rsidRPr="007E4833">
              <w:rPr>
                <w:rFonts w:cstheme="minorHAnsi"/>
                <w:sz w:val="16"/>
                <w:szCs w:val="16"/>
              </w:rPr>
              <w:t>AT COST</w:t>
            </w:r>
          </w:p>
        </w:tc>
      </w:tr>
      <w:tr w:rsidR="00022954" w:rsidRPr="007E4833" w14:paraId="19A5F9ED"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4BB1F7D" w14:textId="77777777" w:rsidR="00022954" w:rsidRPr="007E4833" w:rsidRDefault="00022954" w:rsidP="007E4833">
            <w:pPr>
              <w:jc w:val="both"/>
              <w:rPr>
                <w:rFonts w:cstheme="minorHAnsi"/>
                <w:sz w:val="16"/>
                <w:szCs w:val="16"/>
              </w:rPr>
            </w:pPr>
            <w:r w:rsidRPr="007E4833">
              <w:rPr>
                <w:rFonts w:cstheme="minorHAnsi"/>
                <w:sz w:val="16"/>
                <w:szCs w:val="16"/>
              </w:rPr>
              <w:t>Back office service bureau trade processing fee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tcPr>
          <w:p w14:paraId="49B40162" w14:textId="77777777" w:rsidR="00022954" w:rsidRPr="007E4833" w:rsidRDefault="00022954" w:rsidP="007E4833">
            <w:pPr>
              <w:jc w:val="both"/>
              <w:rPr>
                <w:rFonts w:cstheme="minorHAnsi"/>
                <w:sz w:val="16"/>
                <w:szCs w:val="16"/>
              </w:rPr>
            </w:pPr>
            <w:r w:rsidRPr="007E4833">
              <w:rPr>
                <w:rFonts w:cstheme="minorHAnsi"/>
                <w:sz w:val="16"/>
                <w:szCs w:val="16"/>
              </w:rPr>
              <w:t>$0.03 per compressed fill</w:t>
            </w:r>
          </w:p>
        </w:tc>
      </w:tr>
      <w:tr w:rsidR="00022954" w:rsidRPr="007E4833" w14:paraId="07177888"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F71AD1A" w14:textId="77777777" w:rsidR="00022954" w:rsidRPr="007E4833" w:rsidRDefault="00022954" w:rsidP="007E4833">
            <w:pPr>
              <w:jc w:val="both"/>
              <w:rPr>
                <w:rFonts w:cstheme="minorHAnsi"/>
                <w:sz w:val="16"/>
                <w:szCs w:val="16"/>
              </w:rPr>
            </w:pPr>
            <w:r w:rsidRPr="007E4833">
              <w:rPr>
                <w:rFonts w:cstheme="minorHAnsi"/>
                <w:sz w:val="16"/>
                <w:szCs w:val="16"/>
              </w:rPr>
              <w:t>Custody Fees - Government &amp; Agencies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0A742C" w14:textId="77777777" w:rsidR="00022954" w:rsidRPr="007E4833" w:rsidRDefault="00022954" w:rsidP="007E4833">
            <w:pPr>
              <w:jc w:val="both"/>
              <w:rPr>
                <w:rFonts w:cstheme="minorHAnsi"/>
                <w:sz w:val="16"/>
                <w:szCs w:val="16"/>
              </w:rPr>
            </w:pPr>
            <w:r w:rsidRPr="007E4833">
              <w:rPr>
                <w:rFonts w:cstheme="minorHAnsi"/>
                <w:sz w:val="16"/>
                <w:szCs w:val="16"/>
              </w:rPr>
              <w:t>$10 per trade</w:t>
            </w:r>
          </w:p>
        </w:tc>
      </w:tr>
      <w:tr w:rsidR="00022954" w:rsidRPr="007E4833" w14:paraId="3E0A8171"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77A3E4" w14:textId="77777777" w:rsidR="00022954" w:rsidRPr="007E4833" w:rsidRDefault="00022954" w:rsidP="007E4833">
            <w:pPr>
              <w:jc w:val="both"/>
              <w:rPr>
                <w:rFonts w:cstheme="minorHAnsi"/>
                <w:sz w:val="16"/>
                <w:szCs w:val="16"/>
              </w:rPr>
            </w:pPr>
            <w:r w:rsidRPr="007E4833">
              <w:rPr>
                <w:rFonts w:cstheme="minorHAnsi"/>
                <w:sz w:val="16"/>
                <w:szCs w:val="16"/>
              </w:rPr>
              <w:t>Mutual Fund Networking Fee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D73B4B" w14:textId="77777777" w:rsidR="00022954" w:rsidRPr="007E4833" w:rsidRDefault="00022954" w:rsidP="007E4833">
            <w:pPr>
              <w:jc w:val="both"/>
              <w:rPr>
                <w:rFonts w:cstheme="minorHAnsi"/>
                <w:sz w:val="16"/>
                <w:szCs w:val="16"/>
              </w:rPr>
            </w:pPr>
            <w:r w:rsidRPr="007E4833">
              <w:rPr>
                <w:rFonts w:cstheme="minorHAnsi"/>
                <w:sz w:val="16"/>
                <w:szCs w:val="16"/>
              </w:rPr>
              <w:t>$5 per trade</w:t>
            </w:r>
          </w:p>
        </w:tc>
      </w:tr>
      <w:tr w:rsidR="00022954" w:rsidRPr="007E4833" w14:paraId="04C99D76" w14:textId="77777777" w:rsidTr="001372B3">
        <w:trPr>
          <w:trHeight w:val="300"/>
        </w:trPr>
        <w:tc>
          <w:tcPr>
            <w:tcW w:w="4720"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341493AF" w14:textId="77777777" w:rsidR="00022954" w:rsidRPr="007E4833" w:rsidRDefault="00022954" w:rsidP="007E4833">
            <w:pPr>
              <w:jc w:val="both"/>
              <w:rPr>
                <w:rFonts w:cstheme="minorHAnsi"/>
                <w:sz w:val="16"/>
                <w:szCs w:val="16"/>
              </w:rPr>
            </w:pPr>
            <w:r w:rsidRPr="007E4833">
              <w:rPr>
                <w:rFonts w:cstheme="minorHAnsi"/>
                <w:sz w:val="16"/>
                <w:szCs w:val="16"/>
              </w:rPr>
              <w:t>Exercise and Assignment Fee</w:t>
            </w:r>
          </w:p>
        </w:tc>
        <w:tc>
          <w:tcPr>
            <w:tcW w:w="5440" w:type="dxa"/>
            <w:tcBorders>
              <w:top w:val="nil"/>
              <w:left w:val="nil"/>
              <w:bottom w:val="nil"/>
              <w:right w:val="single" w:sz="8" w:space="0" w:color="auto"/>
            </w:tcBorders>
            <w:tcMar>
              <w:top w:w="0" w:type="dxa"/>
              <w:left w:w="108" w:type="dxa"/>
              <w:bottom w:w="0" w:type="dxa"/>
              <w:right w:w="108" w:type="dxa"/>
            </w:tcMar>
            <w:vAlign w:val="bottom"/>
            <w:hideMark/>
          </w:tcPr>
          <w:p w14:paraId="14726CEE" w14:textId="77777777" w:rsidR="00022954" w:rsidRPr="007E4833" w:rsidRDefault="00022954" w:rsidP="007E4833">
            <w:pPr>
              <w:jc w:val="both"/>
              <w:rPr>
                <w:rFonts w:cstheme="minorHAnsi"/>
                <w:sz w:val="16"/>
                <w:szCs w:val="16"/>
              </w:rPr>
            </w:pPr>
            <w:r w:rsidRPr="007E4833">
              <w:rPr>
                <w:rFonts w:cstheme="minorHAnsi"/>
                <w:sz w:val="16"/>
                <w:szCs w:val="16"/>
              </w:rPr>
              <w:t>$5 per trade</w:t>
            </w:r>
          </w:p>
        </w:tc>
      </w:tr>
      <w:tr w:rsidR="00022954" w:rsidRPr="007E4833" w14:paraId="2A3376D2" w14:textId="77777777" w:rsidTr="001372B3">
        <w:trPr>
          <w:trHeight w:val="300"/>
        </w:trPr>
        <w:tc>
          <w:tcPr>
            <w:tcW w:w="4720" w:type="dxa"/>
            <w:tcBorders>
              <w:top w:val="nil"/>
              <w:left w:val="single" w:sz="8" w:space="0" w:color="auto"/>
              <w:bottom w:val="single" w:sz="4" w:space="0" w:color="auto"/>
              <w:right w:val="single" w:sz="8" w:space="0" w:color="auto"/>
            </w:tcBorders>
            <w:shd w:val="clear" w:color="auto" w:fill="2F5496" w:themeFill="accent1" w:themeFillShade="BF"/>
            <w:tcMar>
              <w:top w:w="0" w:type="dxa"/>
              <w:left w:w="108" w:type="dxa"/>
              <w:bottom w:w="0" w:type="dxa"/>
              <w:right w:w="108" w:type="dxa"/>
            </w:tcMar>
            <w:vAlign w:val="bottom"/>
          </w:tcPr>
          <w:p w14:paraId="45AA77C8" w14:textId="77777777" w:rsidR="00022954" w:rsidRPr="007E4833" w:rsidRDefault="00022954" w:rsidP="007E4833">
            <w:pPr>
              <w:jc w:val="both"/>
              <w:rPr>
                <w:rFonts w:cstheme="minorHAnsi"/>
                <w:b/>
                <w:bCs/>
                <w:sz w:val="16"/>
                <w:szCs w:val="16"/>
              </w:rPr>
            </w:pPr>
            <w:r w:rsidRPr="007E4833">
              <w:rPr>
                <w:rFonts w:cstheme="minorHAnsi"/>
                <w:b/>
                <w:bCs/>
                <w:sz w:val="16"/>
                <w:szCs w:val="16"/>
              </w:rPr>
              <w:t>OTC Deposits</w:t>
            </w:r>
          </w:p>
        </w:tc>
        <w:tc>
          <w:tcPr>
            <w:tcW w:w="5440" w:type="dxa"/>
            <w:tcBorders>
              <w:top w:val="nil"/>
              <w:left w:val="nil"/>
              <w:bottom w:val="single" w:sz="4" w:space="0" w:color="auto"/>
              <w:right w:val="single" w:sz="8" w:space="0" w:color="auto"/>
            </w:tcBorders>
            <w:shd w:val="clear" w:color="auto" w:fill="2F5496" w:themeFill="accent1" w:themeFillShade="BF"/>
            <w:tcMar>
              <w:top w:w="0" w:type="dxa"/>
              <w:left w:w="108" w:type="dxa"/>
              <w:bottom w:w="0" w:type="dxa"/>
              <w:right w:w="108" w:type="dxa"/>
            </w:tcMar>
            <w:vAlign w:val="bottom"/>
          </w:tcPr>
          <w:p w14:paraId="37C20B2C" w14:textId="77777777" w:rsidR="00022954" w:rsidRPr="007E4833" w:rsidRDefault="00022954" w:rsidP="007E4833">
            <w:pPr>
              <w:jc w:val="both"/>
              <w:rPr>
                <w:rFonts w:cstheme="minorHAnsi"/>
                <w:sz w:val="16"/>
                <w:szCs w:val="16"/>
              </w:rPr>
            </w:pPr>
          </w:p>
        </w:tc>
      </w:tr>
      <w:tr w:rsidR="00022954" w:rsidRPr="007E4833" w14:paraId="431557F1" w14:textId="77777777" w:rsidTr="001372B3">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136215FB" w14:textId="77777777" w:rsidR="00022954" w:rsidRPr="007E4833" w:rsidRDefault="00022954" w:rsidP="007E4833">
            <w:pPr>
              <w:jc w:val="both"/>
              <w:rPr>
                <w:rFonts w:cstheme="minorHAnsi"/>
                <w:sz w:val="16"/>
                <w:szCs w:val="16"/>
              </w:rPr>
            </w:pPr>
            <w:r w:rsidRPr="007E4833">
              <w:rPr>
                <w:rFonts w:cstheme="minorHAnsi"/>
                <w:sz w:val="16"/>
                <w:szCs w:val="16"/>
              </w:rPr>
              <w:t>Initial Deposit Review Fee</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34F200CC" w14:textId="77777777" w:rsidR="00022954" w:rsidRPr="007E4833" w:rsidRDefault="00022954" w:rsidP="007E4833">
            <w:pPr>
              <w:jc w:val="both"/>
              <w:rPr>
                <w:rFonts w:cstheme="minorHAnsi"/>
                <w:sz w:val="16"/>
                <w:szCs w:val="16"/>
              </w:rPr>
            </w:pPr>
            <w:r w:rsidRPr="007E4833">
              <w:rPr>
                <w:rFonts w:cstheme="minorHAnsi"/>
                <w:sz w:val="16"/>
                <w:szCs w:val="16"/>
              </w:rPr>
              <w:t>$1,500</w:t>
            </w:r>
          </w:p>
        </w:tc>
      </w:tr>
      <w:tr w:rsidR="00022954" w:rsidRPr="007E4833" w14:paraId="4E9F8935" w14:textId="77777777" w:rsidTr="001372B3">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24DB9D7B" w14:textId="77777777" w:rsidR="00022954" w:rsidRPr="007E4833" w:rsidRDefault="00022954" w:rsidP="007E4833">
            <w:pPr>
              <w:jc w:val="both"/>
              <w:rPr>
                <w:rFonts w:cstheme="minorHAnsi"/>
                <w:sz w:val="16"/>
                <w:szCs w:val="16"/>
              </w:rPr>
            </w:pPr>
            <w:r w:rsidRPr="007E4833">
              <w:rPr>
                <w:rFonts w:cstheme="minorHAnsi"/>
                <w:sz w:val="16"/>
                <w:szCs w:val="16"/>
              </w:rPr>
              <w:t>Rush Fee (if applicable)</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183544DD" w14:textId="77777777" w:rsidR="00022954" w:rsidRPr="007E4833" w:rsidRDefault="00022954" w:rsidP="007E4833">
            <w:pPr>
              <w:jc w:val="both"/>
              <w:rPr>
                <w:rFonts w:cstheme="minorHAnsi"/>
                <w:sz w:val="16"/>
                <w:szCs w:val="16"/>
              </w:rPr>
            </w:pPr>
            <w:r w:rsidRPr="007E4833">
              <w:rPr>
                <w:rFonts w:cstheme="minorHAnsi"/>
                <w:sz w:val="16"/>
                <w:szCs w:val="16"/>
              </w:rPr>
              <w:t>$275</w:t>
            </w:r>
          </w:p>
        </w:tc>
      </w:tr>
      <w:tr w:rsidR="00022954" w:rsidRPr="007E4833" w14:paraId="7B3A99BC" w14:textId="77777777" w:rsidTr="001372B3">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595F9590" w14:textId="77777777" w:rsidR="00022954" w:rsidRPr="007E4833" w:rsidRDefault="00022954" w:rsidP="007E4833">
            <w:pPr>
              <w:jc w:val="both"/>
              <w:rPr>
                <w:rFonts w:cstheme="minorHAnsi"/>
                <w:sz w:val="16"/>
                <w:szCs w:val="16"/>
              </w:rPr>
            </w:pPr>
            <w:r w:rsidRPr="007E4833">
              <w:rPr>
                <w:rFonts w:cstheme="minorHAnsi"/>
                <w:sz w:val="16"/>
                <w:szCs w:val="16"/>
              </w:rPr>
              <w:t>DWAC fee plus transfer agent fees (if applicable)</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42F990F3" w14:textId="77777777" w:rsidR="00022954" w:rsidRPr="007E4833" w:rsidRDefault="00022954" w:rsidP="007E4833">
            <w:pPr>
              <w:jc w:val="both"/>
              <w:rPr>
                <w:rFonts w:cstheme="minorHAnsi"/>
                <w:sz w:val="16"/>
                <w:szCs w:val="16"/>
              </w:rPr>
            </w:pPr>
            <w:r w:rsidRPr="007E4833">
              <w:rPr>
                <w:rFonts w:cstheme="minorHAnsi"/>
                <w:sz w:val="16"/>
                <w:szCs w:val="16"/>
              </w:rPr>
              <w:t>$250</w:t>
            </w:r>
          </w:p>
        </w:tc>
      </w:tr>
      <w:tr w:rsidR="00022954" w:rsidRPr="007E4833" w14:paraId="7621EF43" w14:textId="77777777" w:rsidTr="001372B3">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1228AAE0" w14:textId="77777777" w:rsidR="00022954" w:rsidRPr="007E4833" w:rsidRDefault="00022954" w:rsidP="007E4833">
            <w:pPr>
              <w:jc w:val="both"/>
              <w:rPr>
                <w:rFonts w:cstheme="minorHAnsi"/>
                <w:sz w:val="16"/>
                <w:szCs w:val="16"/>
              </w:rPr>
            </w:pPr>
            <w:r w:rsidRPr="007E4833">
              <w:rPr>
                <w:rFonts w:cstheme="minorHAnsi"/>
                <w:sz w:val="16"/>
                <w:szCs w:val="16"/>
              </w:rPr>
              <w:t>Ticket charge (per above) plus clearing rate of first 1.5% notional value on any resulting transactions upon approval and receipt of shares.</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3D30044E" w14:textId="77777777" w:rsidR="00022954" w:rsidRPr="007E4833" w:rsidRDefault="00022954" w:rsidP="007E4833">
            <w:pPr>
              <w:jc w:val="both"/>
              <w:rPr>
                <w:rFonts w:cstheme="minorHAnsi"/>
                <w:sz w:val="16"/>
                <w:szCs w:val="16"/>
              </w:rPr>
            </w:pPr>
            <w:r w:rsidRPr="007E4833">
              <w:rPr>
                <w:rFonts w:cstheme="minorHAnsi"/>
                <w:sz w:val="16"/>
                <w:szCs w:val="16"/>
              </w:rPr>
              <w:t>1.5%</w:t>
            </w:r>
          </w:p>
        </w:tc>
      </w:tr>
      <w:tr w:rsidR="00022954" w:rsidRPr="007E4833" w14:paraId="3E31E200" w14:textId="77777777" w:rsidTr="001372B3">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0EE4CFC2" w14:textId="77777777" w:rsidR="00022954" w:rsidRPr="007E4833" w:rsidRDefault="00022954" w:rsidP="007E4833">
            <w:pPr>
              <w:jc w:val="both"/>
              <w:rPr>
                <w:rFonts w:cstheme="minorHAnsi"/>
                <w:sz w:val="16"/>
                <w:szCs w:val="16"/>
              </w:rPr>
            </w:pPr>
            <w:r w:rsidRPr="007E4833">
              <w:rPr>
                <w:rFonts w:cstheme="minorHAnsi"/>
                <w:sz w:val="16"/>
                <w:szCs w:val="16"/>
              </w:rPr>
              <w:t>Boustead commission on OTC Deposit sell transactions</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7B030709" w14:textId="77777777" w:rsidR="00022954" w:rsidRPr="007E4833" w:rsidRDefault="00022954" w:rsidP="007E4833">
            <w:pPr>
              <w:jc w:val="both"/>
              <w:rPr>
                <w:rFonts w:cstheme="minorHAnsi"/>
                <w:sz w:val="16"/>
                <w:szCs w:val="16"/>
              </w:rPr>
            </w:pPr>
            <w:r w:rsidRPr="007E4833">
              <w:rPr>
                <w:rFonts w:cstheme="minorHAnsi"/>
                <w:sz w:val="16"/>
                <w:szCs w:val="16"/>
              </w:rPr>
              <w:t>2-4%</w:t>
            </w:r>
          </w:p>
        </w:tc>
      </w:tr>
    </w:tbl>
    <w:p w14:paraId="56F7AAD9" w14:textId="77777777" w:rsidR="00022954" w:rsidRPr="007E4833" w:rsidRDefault="00022954" w:rsidP="007E4833">
      <w:pPr>
        <w:jc w:val="both"/>
        <w:rPr>
          <w:rFonts w:cstheme="minorHAnsi"/>
          <w:sz w:val="22"/>
          <w:szCs w:val="22"/>
        </w:rPr>
      </w:pPr>
    </w:p>
    <w:p w14:paraId="24D68604" w14:textId="050B38D9" w:rsidR="00BB5817" w:rsidRPr="007E4833" w:rsidRDefault="00BB5817" w:rsidP="007E4833">
      <w:pPr>
        <w:pStyle w:val="Heading1"/>
        <w:jc w:val="both"/>
        <w:rPr>
          <w:rFonts w:asciiTheme="minorHAnsi" w:hAnsiTheme="minorHAnsi" w:cstheme="minorHAnsi"/>
        </w:rPr>
      </w:pPr>
      <w:bookmarkStart w:id="10" w:name="_Toc453503813"/>
      <w:r w:rsidRPr="007E4833">
        <w:rPr>
          <w:rFonts w:asciiTheme="minorHAnsi" w:hAnsiTheme="minorHAnsi" w:cstheme="minorHAnsi"/>
        </w:rPr>
        <w:t>P</w:t>
      </w:r>
      <w:r w:rsidR="002C3B61" w:rsidRPr="007E4833">
        <w:rPr>
          <w:rFonts w:asciiTheme="minorHAnsi" w:hAnsiTheme="minorHAnsi" w:cstheme="minorHAnsi"/>
        </w:rPr>
        <w:t xml:space="preserve">roduct </w:t>
      </w:r>
      <w:r w:rsidR="00CD07B0" w:rsidRPr="007E4833">
        <w:rPr>
          <w:rFonts w:asciiTheme="minorHAnsi" w:hAnsiTheme="minorHAnsi" w:cstheme="minorHAnsi"/>
        </w:rPr>
        <w:t>and Services Descriptions, Risk Disclosures and Resources for more information</w:t>
      </w:r>
      <w:bookmarkEnd w:id="10"/>
    </w:p>
    <w:p w14:paraId="2C1A825C" w14:textId="77777777" w:rsidR="00B80C22" w:rsidRPr="007E4833" w:rsidRDefault="00B80C22" w:rsidP="007E4833">
      <w:pPr>
        <w:jc w:val="both"/>
        <w:rPr>
          <w:rFonts w:cstheme="minorHAnsi"/>
          <w:b/>
          <w:bCs/>
          <w:sz w:val="20"/>
          <w:szCs w:val="20"/>
        </w:rPr>
      </w:pPr>
    </w:p>
    <w:p w14:paraId="2C38AB77" w14:textId="6D22710C" w:rsidR="001E614C" w:rsidRPr="007E4833" w:rsidRDefault="002C3B61" w:rsidP="007E4833">
      <w:pPr>
        <w:pStyle w:val="BodyText"/>
        <w:jc w:val="both"/>
        <w:rPr>
          <w:rFonts w:cstheme="minorHAnsi"/>
        </w:rPr>
      </w:pPr>
      <w:r w:rsidRPr="007E4833">
        <w:rPr>
          <w:rFonts w:cstheme="minorHAnsi"/>
        </w:rPr>
        <w:t>Our f</w:t>
      </w:r>
      <w:r w:rsidR="00BB5817" w:rsidRPr="007E4833">
        <w:rPr>
          <w:rFonts w:cstheme="minorHAnsi"/>
        </w:rPr>
        <w:t xml:space="preserve">inancial professionals </w:t>
      </w:r>
      <w:r w:rsidR="002C7FCC">
        <w:rPr>
          <w:rFonts w:cstheme="minorHAnsi"/>
        </w:rPr>
        <w:t xml:space="preserve">may </w:t>
      </w:r>
      <w:r w:rsidR="00BB5817" w:rsidRPr="007E4833">
        <w:rPr>
          <w:rFonts w:cstheme="minorHAnsi"/>
        </w:rPr>
        <w:t xml:space="preserve">provide recommendations with respect to a broad range of investment </w:t>
      </w:r>
      <w:r w:rsidR="00510E79" w:rsidRPr="007E4833">
        <w:rPr>
          <w:rFonts w:cstheme="minorHAnsi"/>
        </w:rPr>
        <w:t xml:space="preserve">products, including </w:t>
      </w:r>
      <w:r w:rsidR="001E614C" w:rsidRPr="007E4833">
        <w:rPr>
          <w:rFonts w:cstheme="minorHAnsi"/>
        </w:rPr>
        <w:t>certain U.S. Equities (listed companies on all U.S. exchanges, Nasdaq stocks, Bulletin Board stocks, and Pink Sheet stocks), Non-USD Equities, Fixed Income (U.S. Treasury bonds, notes, and bills; U.S. Government Sponsored Enterprise (GSE) securities;  U.S. Corporate Bonds), Options, and Exchange Traded Funds (ETFs), and Alternative Investments.</w:t>
      </w:r>
    </w:p>
    <w:p w14:paraId="25C167AA" w14:textId="77777777" w:rsidR="001E614C" w:rsidRPr="007E4833" w:rsidRDefault="001E614C" w:rsidP="007E4833">
      <w:pPr>
        <w:pStyle w:val="BodyText"/>
        <w:jc w:val="both"/>
        <w:rPr>
          <w:rFonts w:cstheme="minorHAnsi"/>
        </w:rPr>
      </w:pPr>
    </w:p>
    <w:p w14:paraId="54E00C89" w14:textId="190C39AC" w:rsidR="00BB5817" w:rsidRPr="007E4833" w:rsidRDefault="00BB5817" w:rsidP="007E4833">
      <w:pPr>
        <w:pStyle w:val="BodyText"/>
        <w:jc w:val="both"/>
        <w:rPr>
          <w:rFonts w:cstheme="minorHAnsi"/>
        </w:rPr>
      </w:pPr>
      <w:r w:rsidRPr="007E4833">
        <w:rPr>
          <w:rFonts w:cstheme="minorHAnsi"/>
        </w:rPr>
        <w:t xml:space="preserve">Each type of investment product carries unique risks, and many investment products charge fees and costs that are separate from and in addition to the commissions and fees that </w:t>
      </w:r>
      <w:r w:rsidR="009C2F50" w:rsidRPr="007E4833">
        <w:rPr>
          <w:rFonts w:cstheme="minorHAnsi"/>
        </w:rPr>
        <w:t>BSL</w:t>
      </w:r>
      <w:r w:rsidRPr="007E4833">
        <w:rPr>
          <w:rFonts w:cstheme="minorHAnsi"/>
        </w:rPr>
        <w:t xml:space="preserve"> and </w:t>
      </w:r>
      <w:r w:rsidR="00C64A01" w:rsidRPr="007E4833">
        <w:rPr>
          <w:rFonts w:cstheme="minorHAnsi"/>
        </w:rPr>
        <w:t xml:space="preserve">our </w:t>
      </w:r>
      <w:r w:rsidRPr="007E4833">
        <w:rPr>
          <w:rFonts w:cstheme="minorHAnsi"/>
        </w:rPr>
        <w:t>financial professionals receive.  You can learn more about these risks and the fees and costs charged by an investment product by reviewing the investment product's prospectus, offering memorandum</w:t>
      </w:r>
      <w:r w:rsidR="001E614C" w:rsidRPr="007E4833">
        <w:rPr>
          <w:rFonts w:cstheme="minorHAnsi"/>
        </w:rPr>
        <w:t>, or other disclosure documents along with any other documentation we provide you at the time of recommendation.  Organized by product type below, the following summaries and resources are intended to supplement the information already provided to you at the time of a recommendation.</w:t>
      </w:r>
    </w:p>
    <w:p w14:paraId="15C1E8D4" w14:textId="77777777" w:rsidR="00B80C22" w:rsidRPr="007E4833" w:rsidRDefault="00B80C22" w:rsidP="007E4833">
      <w:pPr>
        <w:jc w:val="both"/>
        <w:rPr>
          <w:rFonts w:cstheme="minorHAnsi"/>
          <w:sz w:val="20"/>
          <w:szCs w:val="20"/>
        </w:rPr>
      </w:pPr>
    </w:p>
    <w:p w14:paraId="618F978B" w14:textId="1381A712" w:rsidR="00BB5817" w:rsidRPr="007E4833" w:rsidRDefault="001E614C" w:rsidP="007E4833">
      <w:pPr>
        <w:pStyle w:val="Heading2"/>
        <w:jc w:val="both"/>
        <w:rPr>
          <w:rFonts w:asciiTheme="minorHAnsi" w:hAnsiTheme="minorHAnsi" w:cstheme="minorHAnsi"/>
        </w:rPr>
      </w:pPr>
      <w:bookmarkStart w:id="11" w:name="_Toc453503814"/>
      <w:r w:rsidRPr="007E4833">
        <w:rPr>
          <w:rFonts w:asciiTheme="minorHAnsi" w:hAnsiTheme="minorHAnsi" w:cstheme="minorHAnsi"/>
        </w:rPr>
        <w:t>Mutual Funds</w:t>
      </w:r>
      <w:r w:rsidR="007E0680" w:rsidRPr="007E4833">
        <w:rPr>
          <w:rFonts w:asciiTheme="minorHAnsi" w:hAnsiTheme="minorHAnsi" w:cstheme="minorHAnsi"/>
        </w:rPr>
        <w:t>,</w:t>
      </w:r>
      <w:r w:rsidRPr="007E4833">
        <w:rPr>
          <w:rFonts w:asciiTheme="minorHAnsi" w:hAnsiTheme="minorHAnsi" w:cstheme="minorHAnsi"/>
        </w:rPr>
        <w:t xml:space="preserve"> </w:t>
      </w:r>
      <w:r w:rsidR="00BB5817" w:rsidRPr="007E4833">
        <w:rPr>
          <w:rFonts w:asciiTheme="minorHAnsi" w:hAnsiTheme="minorHAnsi" w:cstheme="minorHAnsi"/>
        </w:rPr>
        <w:t>Share Class</w:t>
      </w:r>
      <w:r w:rsidR="007E0680" w:rsidRPr="007E4833">
        <w:rPr>
          <w:rFonts w:asciiTheme="minorHAnsi" w:hAnsiTheme="minorHAnsi" w:cstheme="minorHAnsi"/>
        </w:rPr>
        <w:t>es</w:t>
      </w:r>
      <w:r w:rsidR="00BB5817" w:rsidRPr="007E4833">
        <w:rPr>
          <w:rFonts w:asciiTheme="minorHAnsi" w:hAnsiTheme="minorHAnsi" w:cstheme="minorHAnsi"/>
        </w:rPr>
        <w:t xml:space="preserve"> and Fund Selection</w:t>
      </w:r>
      <w:bookmarkEnd w:id="11"/>
    </w:p>
    <w:p w14:paraId="6C4D7489" w14:textId="77777777" w:rsidR="00B80C22" w:rsidRPr="007E4833" w:rsidRDefault="00B80C22" w:rsidP="007E4833">
      <w:pPr>
        <w:jc w:val="both"/>
        <w:rPr>
          <w:rFonts w:cstheme="minorHAnsi"/>
          <w:sz w:val="20"/>
          <w:szCs w:val="20"/>
        </w:rPr>
      </w:pPr>
    </w:p>
    <w:p w14:paraId="7B2B697E" w14:textId="2E8395F4" w:rsidR="001E614C" w:rsidRPr="007E4833" w:rsidRDefault="001E614C" w:rsidP="007E4833">
      <w:pPr>
        <w:pStyle w:val="BodyText"/>
        <w:jc w:val="both"/>
        <w:rPr>
          <w:rFonts w:cstheme="minorHAnsi"/>
        </w:rPr>
      </w:pPr>
      <w:r w:rsidRPr="007E4833">
        <w:rPr>
          <w:rFonts w:cstheme="minorHAnsi"/>
        </w:rPr>
        <w:t xml:space="preserve">A mutual fund is a company that pools money from many investors and invests the money in securities such as stocks, bonds, and short-term debt. The combined holdings of the mutual fund are known as its </w:t>
      </w:r>
      <w:r w:rsidRPr="007E4833">
        <w:rPr>
          <w:rFonts w:cstheme="minorHAnsi"/>
        </w:rPr>
        <w:lastRenderedPageBreak/>
        <w:t>portfolio. Investors buy shares in mutual funds. Each share represents an investor’s part ownership in the fund and the income it generates.</w:t>
      </w:r>
    </w:p>
    <w:p w14:paraId="091C7920" w14:textId="77777777" w:rsidR="004E4427" w:rsidRPr="007E4833" w:rsidRDefault="004E4427" w:rsidP="007E4833">
      <w:pPr>
        <w:pStyle w:val="BodyText"/>
        <w:jc w:val="both"/>
        <w:rPr>
          <w:rFonts w:cstheme="minorHAnsi"/>
        </w:rPr>
      </w:pPr>
    </w:p>
    <w:p w14:paraId="4B7B113E" w14:textId="77777777" w:rsidR="001E614C" w:rsidRPr="007E4833" w:rsidRDefault="001E614C" w:rsidP="007E4833">
      <w:pPr>
        <w:pStyle w:val="BodyText"/>
        <w:jc w:val="both"/>
        <w:rPr>
          <w:rFonts w:cstheme="minorHAnsi"/>
        </w:rPr>
      </w:pPr>
      <w:r w:rsidRPr="007E4833">
        <w:rPr>
          <w:rFonts w:cstheme="minorHAnsi"/>
        </w:rPr>
        <w:t>Mutual funds offer professional investment management and potential diversification. They also offer three ways to earn money:</w:t>
      </w:r>
    </w:p>
    <w:p w14:paraId="4B5144C6" w14:textId="77777777" w:rsidR="001E614C" w:rsidRPr="007E4833" w:rsidRDefault="001E614C" w:rsidP="007E4833">
      <w:pPr>
        <w:pStyle w:val="NormalWeb"/>
        <w:numPr>
          <w:ilvl w:val="0"/>
          <w:numId w:val="9"/>
        </w:numPr>
        <w:jc w:val="both"/>
        <w:rPr>
          <w:rFonts w:asciiTheme="minorHAnsi" w:hAnsiTheme="minorHAnsi" w:cstheme="minorHAnsi"/>
          <w:sz w:val="22"/>
          <w:szCs w:val="22"/>
        </w:rPr>
      </w:pPr>
      <w:r w:rsidRPr="007E4833">
        <w:rPr>
          <w:rFonts w:asciiTheme="minorHAnsi" w:hAnsiTheme="minorHAnsi" w:cstheme="minorHAnsi"/>
          <w:sz w:val="22"/>
          <w:szCs w:val="22"/>
        </w:rPr>
        <w:t>Dividend Payments. A fund may earn income from dividends on stock or interest on bonds. The fund then pays the shareholders nearly all the income, less expenses.</w:t>
      </w:r>
    </w:p>
    <w:p w14:paraId="07C84430" w14:textId="77777777" w:rsidR="001E614C" w:rsidRPr="007E4833" w:rsidRDefault="001E614C" w:rsidP="007E4833">
      <w:pPr>
        <w:pStyle w:val="NormalWeb"/>
        <w:numPr>
          <w:ilvl w:val="0"/>
          <w:numId w:val="9"/>
        </w:numPr>
        <w:jc w:val="both"/>
        <w:rPr>
          <w:rFonts w:asciiTheme="minorHAnsi" w:hAnsiTheme="minorHAnsi" w:cstheme="minorHAnsi"/>
          <w:sz w:val="22"/>
          <w:szCs w:val="22"/>
        </w:rPr>
      </w:pPr>
      <w:r w:rsidRPr="007E4833">
        <w:rPr>
          <w:rFonts w:asciiTheme="minorHAnsi" w:hAnsiTheme="minorHAnsi" w:cstheme="minorHAnsi"/>
          <w:sz w:val="22"/>
          <w:szCs w:val="22"/>
        </w:rPr>
        <w:t>Capital Gains Distributions. The price of the securities in a fund may increase. When a fund sells a security that has increased in price, the fund has a capital gain. At the end of the year, the fund distributes these capital gains, minus any capital losses, to investors.</w:t>
      </w:r>
    </w:p>
    <w:p w14:paraId="28EC9A44" w14:textId="77777777" w:rsidR="001E614C" w:rsidRPr="007E4833" w:rsidRDefault="001E614C" w:rsidP="007E4833">
      <w:pPr>
        <w:pStyle w:val="NormalWeb"/>
        <w:numPr>
          <w:ilvl w:val="0"/>
          <w:numId w:val="9"/>
        </w:numPr>
        <w:jc w:val="both"/>
        <w:rPr>
          <w:rFonts w:asciiTheme="minorHAnsi" w:hAnsiTheme="minorHAnsi" w:cstheme="minorHAnsi"/>
          <w:sz w:val="22"/>
          <w:szCs w:val="22"/>
        </w:rPr>
      </w:pPr>
      <w:r w:rsidRPr="007E4833">
        <w:rPr>
          <w:rFonts w:asciiTheme="minorHAnsi" w:hAnsiTheme="minorHAnsi" w:cstheme="minorHAnsi"/>
          <w:sz w:val="22"/>
          <w:szCs w:val="22"/>
        </w:rPr>
        <w:t>Increased NAV. If the market value of a fund’s portfolio increases, after deducting expenses, then the value of the fund and its shares increases. The higher NAV reflects the higher value of your investment.</w:t>
      </w:r>
    </w:p>
    <w:p w14:paraId="17E6D85B" w14:textId="77777777" w:rsidR="001E614C" w:rsidRPr="007E4833" w:rsidRDefault="001E614C" w:rsidP="007E4833">
      <w:pPr>
        <w:pStyle w:val="BodyText"/>
        <w:jc w:val="both"/>
        <w:rPr>
          <w:rFonts w:cstheme="minorHAnsi"/>
        </w:rPr>
      </w:pPr>
      <w:r w:rsidRPr="007E4833">
        <w:rPr>
          <w:rFonts w:cstheme="minorHAnsi"/>
        </w:rPr>
        <w:t>All funds carry some level of risk. With mutual funds, you may lose some or all of the money you invest because the securities held by a fund can go down in value. Dividends or interest payments may also change as market conditions change.</w:t>
      </w:r>
    </w:p>
    <w:p w14:paraId="245F7F0B" w14:textId="77777777" w:rsidR="004E4427" w:rsidRPr="007E4833" w:rsidRDefault="004E4427" w:rsidP="007E4833">
      <w:pPr>
        <w:pStyle w:val="BodyText"/>
        <w:jc w:val="both"/>
        <w:rPr>
          <w:rFonts w:cstheme="minorHAnsi"/>
        </w:rPr>
      </w:pPr>
    </w:p>
    <w:p w14:paraId="0E06D0A3" w14:textId="77777777" w:rsidR="001E614C" w:rsidRPr="007E4833" w:rsidRDefault="001E614C" w:rsidP="007E4833">
      <w:pPr>
        <w:pStyle w:val="BodyText"/>
        <w:jc w:val="both"/>
        <w:rPr>
          <w:rFonts w:cstheme="minorHAnsi"/>
        </w:rPr>
      </w:pPr>
      <w:r w:rsidRPr="007E4833">
        <w:rPr>
          <w:rFonts w:cstheme="minorHAnsi"/>
        </w:rPr>
        <w:t>A fund’s past performance is not as important as you might think because past performance does not predict future returns. But past performance can tell you how volatile or stable a fund has been over a period of time. The more volatile the fund, the higher the investment risk.</w:t>
      </w:r>
    </w:p>
    <w:p w14:paraId="7E99883B" w14:textId="77777777" w:rsidR="004E4427" w:rsidRPr="007E4833" w:rsidRDefault="004E4427" w:rsidP="007E4833">
      <w:pPr>
        <w:pStyle w:val="BodyText"/>
        <w:jc w:val="both"/>
        <w:rPr>
          <w:rFonts w:cstheme="minorHAnsi"/>
        </w:rPr>
      </w:pPr>
    </w:p>
    <w:p w14:paraId="367EABD2" w14:textId="77777777" w:rsidR="001E614C" w:rsidRPr="007E4833" w:rsidRDefault="001E614C" w:rsidP="007E4833">
      <w:pPr>
        <w:pStyle w:val="BodyText"/>
        <w:jc w:val="both"/>
        <w:rPr>
          <w:rFonts w:cstheme="minorHAnsi"/>
        </w:rPr>
      </w:pPr>
      <w:r w:rsidRPr="007E4833">
        <w:rPr>
          <w:rFonts w:cstheme="minorHAnsi"/>
        </w:rPr>
        <w:t>Please read more about mutual funds at:</w:t>
      </w:r>
    </w:p>
    <w:p w14:paraId="34927061" w14:textId="77777777" w:rsidR="001E614C" w:rsidRPr="007E4833" w:rsidRDefault="001E614C" w:rsidP="007E4833">
      <w:pPr>
        <w:pStyle w:val="NormalWeb"/>
        <w:ind w:left="360"/>
        <w:jc w:val="both"/>
        <w:rPr>
          <w:rFonts w:asciiTheme="minorHAnsi" w:hAnsiTheme="minorHAnsi" w:cstheme="minorHAnsi"/>
        </w:rPr>
      </w:pPr>
      <w:r w:rsidRPr="007E4833">
        <w:rPr>
          <w:rFonts w:asciiTheme="minorHAnsi" w:hAnsiTheme="minorHAnsi" w:cstheme="minorHAnsi"/>
        </w:rPr>
        <w:t xml:space="preserve"> </w:t>
      </w:r>
      <w:hyperlink r:id="rId11" w:history="1">
        <w:r w:rsidRPr="007E4833">
          <w:rPr>
            <w:rStyle w:val="Hyperlink"/>
            <w:rFonts w:asciiTheme="minorHAnsi" w:hAnsiTheme="minorHAnsi" w:cstheme="minorHAnsi"/>
          </w:rPr>
          <w:t>https://www.investor.gov/introduction-investing/investing-basics/investment-products/mutual-funds-and-exchange-traded-1</w:t>
        </w:r>
      </w:hyperlink>
    </w:p>
    <w:p w14:paraId="70EE11F3" w14:textId="77777777" w:rsidR="001E614C" w:rsidRPr="007E4833" w:rsidRDefault="001E614C" w:rsidP="007E4833">
      <w:pPr>
        <w:pStyle w:val="BodyText"/>
        <w:jc w:val="both"/>
        <w:rPr>
          <w:rFonts w:cstheme="minorHAnsi"/>
        </w:rPr>
      </w:pPr>
      <w:r w:rsidRPr="007E4833">
        <w:rPr>
          <w:rFonts w:cstheme="minorHAnsi"/>
        </w:rPr>
        <w:t>Here are some additional resources for your consideration:</w:t>
      </w:r>
    </w:p>
    <w:p w14:paraId="783399E0" w14:textId="77777777" w:rsidR="001E614C" w:rsidRPr="007E4833" w:rsidRDefault="001E614C" w:rsidP="007E4833">
      <w:pPr>
        <w:pStyle w:val="ListParagraph"/>
        <w:ind w:left="1530"/>
        <w:jc w:val="both"/>
        <w:rPr>
          <w:rFonts w:cstheme="minorHAnsi"/>
        </w:rPr>
      </w:pPr>
    </w:p>
    <w:p w14:paraId="6EA3174A" w14:textId="77777777" w:rsidR="001E614C" w:rsidRPr="007E4833" w:rsidRDefault="001E614C" w:rsidP="007E4833">
      <w:pPr>
        <w:pStyle w:val="ListParagraph"/>
        <w:ind w:left="1080"/>
        <w:jc w:val="both"/>
        <w:rPr>
          <w:rFonts w:cstheme="minorHAnsi"/>
          <w:b/>
          <w:bCs/>
          <w:u w:val="single"/>
        </w:rPr>
      </w:pPr>
    </w:p>
    <w:tbl>
      <w:tblPr>
        <w:tblStyle w:val="LightShading-Accent1"/>
        <w:tblpPr w:leftFromText="180" w:rightFromText="180" w:vertAnchor="text" w:tblpX="360" w:tblpY="1"/>
        <w:tblOverlap w:val="never"/>
        <w:tblW w:w="8838" w:type="dxa"/>
        <w:tblLook w:val="04A0" w:firstRow="1" w:lastRow="0" w:firstColumn="1" w:lastColumn="0" w:noHBand="0" w:noVBand="1"/>
      </w:tblPr>
      <w:tblGrid>
        <w:gridCol w:w="2988"/>
        <w:gridCol w:w="5850"/>
      </w:tblGrid>
      <w:tr w:rsidR="001E614C" w:rsidRPr="007E4833" w14:paraId="7EF5FCE3" w14:textId="77777777" w:rsidTr="001E614C">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988" w:type="dxa"/>
            <w:hideMark/>
          </w:tcPr>
          <w:p w14:paraId="01C167E6"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t>Title</w:t>
            </w:r>
          </w:p>
        </w:tc>
        <w:tc>
          <w:tcPr>
            <w:tcW w:w="5850" w:type="dxa"/>
            <w:hideMark/>
          </w:tcPr>
          <w:p w14:paraId="73BB9953" w14:textId="77777777" w:rsidR="001E614C" w:rsidRPr="007E4833" w:rsidRDefault="001E614C" w:rsidP="007E4833">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E4833">
              <w:rPr>
                <w:rFonts w:cstheme="minorHAnsi"/>
              </w:rPr>
              <w:t>Web Address</w:t>
            </w:r>
          </w:p>
        </w:tc>
      </w:tr>
      <w:tr w:rsidR="001E614C" w:rsidRPr="007E4833" w14:paraId="6B364DA8" w14:textId="77777777" w:rsidTr="001E614C">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hideMark/>
          </w:tcPr>
          <w:p w14:paraId="3DF38B6C"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t>Closed-End Fund Distributions: Where is the Money Coming From?</w:t>
            </w:r>
          </w:p>
        </w:tc>
        <w:tc>
          <w:tcPr>
            <w:tcW w:w="5850" w:type="dxa"/>
            <w:tcBorders>
              <w:top w:val="nil"/>
              <w:bottom w:val="nil"/>
            </w:tcBorders>
            <w:hideMark/>
          </w:tcPr>
          <w:p w14:paraId="43388AEC" w14:textId="77777777" w:rsidR="001E614C" w:rsidRPr="007E4833" w:rsidRDefault="00D40186"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12" w:history="1">
              <w:r w:rsidR="001E614C" w:rsidRPr="007E4833">
                <w:rPr>
                  <w:rStyle w:val="Hyperlink"/>
                  <w:rFonts w:eastAsia="Times New Roman" w:cstheme="minorHAnsi"/>
                </w:rPr>
                <w:t>https://www.finra.org/investors/alerts/closed-end-fund-distributions-where-money-coming</w:t>
              </w:r>
            </w:hyperlink>
          </w:p>
        </w:tc>
      </w:tr>
      <w:tr w:rsidR="001E614C" w:rsidRPr="007E4833" w14:paraId="0FFDE31B" w14:textId="77777777" w:rsidTr="001E614C">
        <w:trPr>
          <w:trHeight w:val="1360"/>
        </w:trPr>
        <w:tc>
          <w:tcPr>
            <w:cnfStyle w:val="001000000000" w:firstRow="0" w:lastRow="0" w:firstColumn="1" w:lastColumn="0" w:oddVBand="0" w:evenVBand="0" w:oddHBand="0" w:evenHBand="0" w:firstRowFirstColumn="0" w:firstRowLastColumn="0" w:lastRowFirstColumn="0" w:lastRowLastColumn="0"/>
            <w:tcW w:w="2988" w:type="dxa"/>
            <w:tcBorders>
              <w:top w:val="nil"/>
              <w:left w:val="nil"/>
              <w:bottom w:val="nil"/>
              <w:right w:val="nil"/>
            </w:tcBorders>
            <w:hideMark/>
          </w:tcPr>
          <w:p w14:paraId="1D4E22A4"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t>Alternative Funds Are Not Your Typical Mutual Funds</w:t>
            </w:r>
          </w:p>
        </w:tc>
        <w:tc>
          <w:tcPr>
            <w:tcW w:w="5850" w:type="dxa"/>
            <w:tcBorders>
              <w:top w:val="nil"/>
              <w:left w:val="nil"/>
              <w:bottom w:val="nil"/>
              <w:right w:val="nil"/>
            </w:tcBorders>
            <w:hideMark/>
          </w:tcPr>
          <w:p w14:paraId="5993A3C0" w14:textId="77777777" w:rsidR="001E614C" w:rsidRPr="007E4833" w:rsidRDefault="00D40186"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13" w:history="1">
              <w:r w:rsidR="001E614C" w:rsidRPr="007E4833">
                <w:rPr>
                  <w:rStyle w:val="Hyperlink"/>
                  <w:rFonts w:eastAsia="Times New Roman" w:cstheme="minorHAnsi"/>
                </w:rPr>
                <w:t>https://www.finra.org/investors/alerts/alternative-funds-are-not-your-typical-mutual-funds</w:t>
              </w:r>
            </w:hyperlink>
          </w:p>
        </w:tc>
      </w:tr>
      <w:tr w:rsidR="001E614C" w:rsidRPr="007E4833" w14:paraId="0F05B66A" w14:textId="77777777" w:rsidTr="001E614C">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hideMark/>
          </w:tcPr>
          <w:p w14:paraId="19FE3AEF"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lastRenderedPageBreak/>
              <w:t>Treasury's Guarantee Program for Money Market Mutual Funds: What You Should Know</w:t>
            </w:r>
          </w:p>
        </w:tc>
        <w:tc>
          <w:tcPr>
            <w:tcW w:w="5850" w:type="dxa"/>
            <w:tcBorders>
              <w:top w:val="nil"/>
              <w:bottom w:val="nil"/>
            </w:tcBorders>
            <w:hideMark/>
          </w:tcPr>
          <w:p w14:paraId="4927982C" w14:textId="77777777" w:rsidR="001E614C" w:rsidRPr="007E4833" w:rsidRDefault="00D40186"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14" w:history="1">
              <w:r w:rsidR="001E614C" w:rsidRPr="007E4833">
                <w:rPr>
                  <w:rStyle w:val="Hyperlink"/>
                  <w:rFonts w:eastAsia="Times New Roman" w:cstheme="minorHAnsi"/>
                </w:rPr>
                <w:t>https://www.finra.org/investors/alerts/treasurys-guarantee-program-money-market-mutual-funds-what-you-should-know</w:t>
              </w:r>
            </w:hyperlink>
          </w:p>
        </w:tc>
      </w:tr>
      <w:tr w:rsidR="001E614C" w:rsidRPr="007E4833" w14:paraId="14F406CA" w14:textId="77777777" w:rsidTr="001E614C">
        <w:trPr>
          <w:trHeight w:val="1020"/>
        </w:trPr>
        <w:tc>
          <w:tcPr>
            <w:cnfStyle w:val="001000000000" w:firstRow="0" w:lastRow="0" w:firstColumn="1" w:lastColumn="0" w:oddVBand="0" w:evenVBand="0" w:oddHBand="0" w:evenHBand="0" w:firstRowFirstColumn="0" w:firstRowLastColumn="0" w:lastRowFirstColumn="0" w:lastRowLastColumn="0"/>
            <w:tcW w:w="2988" w:type="dxa"/>
            <w:tcBorders>
              <w:top w:val="nil"/>
              <w:left w:val="nil"/>
              <w:bottom w:val="nil"/>
              <w:right w:val="nil"/>
            </w:tcBorders>
            <w:hideMark/>
          </w:tcPr>
          <w:p w14:paraId="6933BF98" w14:textId="77777777" w:rsidR="001E614C" w:rsidRPr="007E4833" w:rsidRDefault="001E614C" w:rsidP="007E4833">
            <w:pPr>
              <w:jc w:val="both"/>
              <w:rPr>
                <w:rFonts w:eastAsia="Times New Roman" w:cstheme="minorHAnsi"/>
                <w:color w:val="000000"/>
              </w:rPr>
            </w:pPr>
            <w:r w:rsidRPr="007E4833">
              <w:rPr>
                <w:rFonts w:eastAsia="Times New Roman" w:cstheme="minorHAnsi"/>
                <w:color w:val="000000"/>
              </w:rPr>
              <w:t>Class B Mutual Fund Shares: Do They Make the Grade?</w:t>
            </w:r>
          </w:p>
        </w:tc>
        <w:tc>
          <w:tcPr>
            <w:tcW w:w="5850" w:type="dxa"/>
            <w:tcBorders>
              <w:top w:val="nil"/>
              <w:left w:val="nil"/>
              <w:bottom w:val="nil"/>
              <w:right w:val="nil"/>
            </w:tcBorders>
            <w:hideMark/>
          </w:tcPr>
          <w:p w14:paraId="014A282D" w14:textId="77777777" w:rsidR="001E614C" w:rsidRPr="007E4833" w:rsidRDefault="00D40186"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15" w:history="1">
              <w:r w:rsidR="001E614C" w:rsidRPr="007E4833">
                <w:rPr>
                  <w:rStyle w:val="Hyperlink"/>
                  <w:rFonts w:eastAsia="Times New Roman" w:cstheme="minorHAnsi"/>
                </w:rPr>
                <w:t>https://www.finra.org/investors/alerts/class-b-mutual-fund-shares-do-they-make-grade</w:t>
              </w:r>
            </w:hyperlink>
          </w:p>
        </w:tc>
      </w:tr>
      <w:tr w:rsidR="001E614C" w:rsidRPr="007E4833" w14:paraId="635263FC" w14:textId="77777777" w:rsidTr="001E614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hideMark/>
          </w:tcPr>
          <w:p w14:paraId="70B52EF3"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t>Updated: Understanding Mutual Fund Classes</w:t>
            </w:r>
          </w:p>
        </w:tc>
        <w:tc>
          <w:tcPr>
            <w:tcW w:w="5850" w:type="dxa"/>
            <w:tcBorders>
              <w:top w:val="nil"/>
              <w:bottom w:val="nil"/>
            </w:tcBorders>
            <w:hideMark/>
          </w:tcPr>
          <w:p w14:paraId="71D71520" w14:textId="77777777" w:rsidR="001E614C" w:rsidRPr="007E4833" w:rsidRDefault="00D40186"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16" w:history="1">
              <w:r w:rsidR="001E614C" w:rsidRPr="007E4833">
                <w:rPr>
                  <w:rStyle w:val="Hyperlink"/>
                  <w:rFonts w:eastAsia="Times New Roman" w:cstheme="minorHAnsi"/>
                </w:rPr>
                <w:t>https://www.finra.org/investors/alerts/understanding-mutual-fund-classes</w:t>
              </w:r>
            </w:hyperlink>
          </w:p>
        </w:tc>
      </w:tr>
      <w:tr w:rsidR="001E614C" w:rsidRPr="007E4833" w14:paraId="37A46DB5" w14:textId="77777777" w:rsidTr="001E614C">
        <w:trPr>
          <w:trHeight w:val="1360"/>
        </w:trPr>
        <w:tc>
          <w:tcPr>
            <w:cnfStyle w:val="001000000000" w:firstRow="0" w:lastRow="0" w:firstColumn="1" w:lastColumn="0" w:oddVBand="0" w:evenVBand="0" w:oddHBand="0" w:evenHBand="0" w:firstRowFirstColumn="0" w:firstRowLastColumn="0" w:lastRowFirstColumn="0" w:lastRowLastColumn="0"/>
            <w:tcW w:w="2988" w:type="dxa"/>
            <w:tcBorders>
              <w:top w:val="nil"/>
              <w:left w:val="nil"/>
              <w:bottom w:val="nil"/>
              <w:right w:val="nil"/>
            </w:tcBorders>
            <w:hideMark/>
          </w:tcPr>
          <w:p w14:paraId="6AD2A205"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t>Net Asset Value Transfers: Look Before You Leap Into Another Mutual Fund</w:t>
            </w:r>
          </w:p>
        </w:tc>
        <w:tc>
          <w:tcPr>
            <w:tcW w:w="5850" w:type="dxa"/>
            <w:tcBorders>
              <w:top w:val="nil"/>
              <w:left w:val="nil"/>
              <w:bottom w:val="nil"/>
              <w:right w:val="nil"/>
            </w:tcBorders>
            <w:hideMark/>
          </w:tcPr>
          <w:p w14:paraId="2D9E941A" w14:textId="77777777" w:rsidR="001E614C" w:rsidRPr="007E4833" w:rsidRDefault="00D40186"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17" w:history="1">
              <w:r w:rsidR="001E614C" w:rsidRPr="007E4833">
                <w:rPr>
                  <w:rStyle w:val="Hyperlink"/>
                  <w:rFonts w:eastAsia="Times New Roman" w:cstheme="minorHAnsi"/>
                </w:rPr>
                <w:t>https://www.finra.org/investors/alerts/net-asset-value-transfers-look-you-leap-another-mutual-fund</w:t>
              </w:r>
            </w:hyperlink>
          </w:p>
        </w:tc>
      </w:tr>
      <w:tr w:rsidR="001E614C" w:rsidRPr="007E4833" w14:paraId="5E4599A1" w14:textId="77777777" w:rsidTr="001E614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hideMark/>
          </w:tcPr>
          <w:p w14:paraId="3A117E70"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t>Principal-Protected Funds—Security Has a Price</w:t>
            </w:r>
          </w:p>
        </w:tc>
        <w:tc>
          <w:tcPr>
            <w:tcW w:w="5850" w:type="dxa"/>
            <w:tcBorders>
              <w:top w:val="nil"/>
              <w:bottom w:val="nil"/>
            </w:tcBorders>
            <w:hideMark/>
          </w:tcPr>
          <w:p w14:paraId="4C2C65AE" w14:textId="77777777" w:rsidR="001E614C" w:rsidRPr="007E4833" w:rsidRDefault="00D40186"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18" w:history="1">
              <w:r w:rsidR="001E614C" w:rsidRPr="007E4833">
                <w:rPr>
                  <w:rStyle w:val="Hyperlink"/>
                  <w:rFonts w:eastAsia="Times New Roman" w:cstheme="minorHAnsi"/>
                </w:rPr>
                <w:t>https://www.finra.org/investors/alerts/principal-protected-funds-security-has-price</w:t>
              </w:r>
            </w:hyperlink>
          </w:p>
        </w:tc>
      </w:tr>
      <w:tr w:rsidR="001E614C" w:rsidRPr="007E4833" w14:paraId="2F23FDE4" w14:textId="77777777" w:rsidTr="001E614C">
        <w:trPr>
          <w:trHeight w:val="1360"/>
        </w:trPr>
        <w:tc>
          <w:tcPr>
            <w:cnfStyle w:val="001000000000" w:firstRow="0" w:lastRow="0" w:firstColumn="1" w:lastColumn="0" w:oddVBand="0" w:evenVBand="0" w:oddHBand="0" w:evenHBand="0" w:firstRowFirstColumn="0" w:firstRowLastColumn="0" w:lastRowFirstColumn="0" w:lastRowLastColumn="0"/>
            <w:tcW w:w="2988" w:type="dxa"/>
            <w:tcBorders>
              <w:top w:val="nil"/>
              <w:left w:val="nil"/>
              <w:bottom w:val="nil"/>
              <w:right w:val="nil"/>
            </w:tcBorders>
            <w:hideMark/>
          </w:tcPr>
          <w:p w14:paraId="2F239207"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t>Updated: Mutual Fund Breakpoints: A Break Worth Taking</w:t>
            </w:r>
          </w:p>
        </w:tc>
        <w:tc>
          <w:tcPr>
            <w:tcW w:w="5850" w:type="dxa"/>
            <w:tcBorders>
              <w:top w:val="nil"/>
              <w:left w:val="nil"/>
              <w:bottom w:val="nil"/>
              <w:right w:val="nil"/>
            </w:tcBorders>
            <w:hideMark/>
          </w:tcPr>
          <w:p w14:paraId="02A5D689" w14:textId="77777777" w:rsidR="001E614C" w:rsidRPr="007E4833" w:rsidRDefault="00D40186"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19" w:history="1">
              <w:r w:rsidR="001E614C" w:rsidRPr="007E4833">
                <w:rPr>
                  <w:rStyle w:val="Hyperlink"/>
                  <w:rFonts w:eastAsia="Times New Roman" w:cstheme="minorHAnsi"/>
                </w:rPr>
                <w:t>https://www.finra.org/investors/alerts/mutual-fund-breakpoints-break-worth-taking</w:t>
              </w:r>
            </w:hyperlink>
          </w:p>
        </w:tc>
      </w:tr>
      <w:tr w:rsidR="001E614C" w:rsidRPr="007E4833" w14:paraId="0F7536B4" w14:textId="77777777" w:rsidTr="001E614C">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2988" w:type="dxa"/>
            <w:tcBorders>
              <w:top w:val="nil"/>
              <w:bottom w:val="single" w:sz="8" w:space="0" w:color="4472C4" w:themeColor="accent1"/>
            </w:tcBorders>
            <w:hideMark/>
          </w:tcPr>
          <w:p w14:paraId="12CFEF8C"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t>Mutual Fund Breakpoints: Are You Owed a Refund?</w:t>
            </w:r>
          </w:p>
        </w:tc>
        <w:tc>
          <w:tcPr>
            <w:tcW w:w="5850" w:type="dxa"/>
            <w:tcBorders>
              <w:top w:val="nil"/>
              <w:bottom w:val="single" w:sz="8" w:space="0" w:color="4472C4" w:themeColor="accent1"/>
            </w:tcBorders>
            <w:hideMark/>
          </w:tcPr>
          <w:p w14:paraId="4E257E90" w14:textId="77777777" w:rsidR="001E614C" w:rsidRPr="007E4833" w:rsidRDefault="00D40186"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20" w:history="1">
              <w:r w:rsidR="001E614C" w:rsidRPr="007E4833">
                <w:rPr>
                  <w:rStyle w:val="Hyperlink"/>
                  <w:rFonts w:eastAsia="Times New Roman" w:cstheme="minorHAnsi"/>
                </w:rPr>
                <w:t>https://www.finra.org/investors/alerts/mutual-fund-breakpoints-are-you-owed-refund</w:t>
              </w:r>
            </w:hyperlink>
          </w:p>
        </w:tc>
      </w:tr>
    </w:tbl>
    <w:p w14:paraId="5E598F52" w14:textId="6439096C" w:rsidR="001E614C" w:rsidRPr="007E4833" w:rsidRDefault="001E614C" w:rsidP="007E4833">
      <w:pPr>
        <w:spacing w:line="228" w:lineRule="exact"/>
        <w:ind w:left="144" w:right="43"/>
        <w:jc w:val="both"/>
        <w:rPr>
          <w:rFonts w:cstheme="minorHAnsi"/>
          <w:sz w:val="20"/>
          <w:szCs w:val="20"/>
        </w:rPr>
      </w:pPr>
    </w:p>
    <w:p w14:paraId="7F5CF233" w14:textId="77777777" w:rsidR="008D3722" w:rsidRPr="007E4833" w:rsidRDefault="008D3722" w:rsidP="007E4833">
      <w:pPr>
        <w:pStyle w:val="BodyText"/>
        <w:jc w:val="both"/>
        <w:rPr>
          <w:rFonts w:cstheme="minorHAnsi"/>
        </w:rPr>
      </w:pPr>
    </w:p>
    <w:p w14:paraId="11DBDC24" w14:textId="0209AAC4" w:rsidR="00BB5817" w:rsidRPr="007E4833" w:rsidRDefault="000335FE" w:rsidP="007E4833">
      <w:pPr>
        <w:pStyle w:val="BodyText"/>
        <w:jc w:val="both"/>
        <w:rPr>
          <w:rFonts w:cstheme="minorHAnsi"/>
        </w:rPr>
      </w:pPr>
      <w:r w:rsidRPr="00012B72">
        <w:rPr>
          <w:rFonts w:cstheme="minorHAnsi"/>
        </w:rPr>
        <w:t>We</w:t>
      </w:r>
      <w:r w:rsidR="00BB5817" w:rsidRPr="00012B72">
        <w:rPr>
          <w:rFonts w:cstheme="minorHAnsi"/>
        </w:rPr>
        <w:t xml:space="preserve"> offer various mutual funds and ETFs, some of which have similar or identical investm</w:t>
      </w:r>
      <w:r w:rsidR="008D3722" w:rsidRPr="00012B72">
        <w:rPr>
          <w:rFonts w:cstheme="minorHAnsi"/>
        </w:rPr>
        <w:t>e</w:t>
      </w:r>
      <w:r w:rsidR="00BB5817" w:rsidRPr="00012B72">
        <w:rPr>
          <w:rFonts w:cstheme="minorHAnsi"/>
        </w:rPr>
        <w:t>nt strategies but differing fee structures. For example, a mutual fund that is designed to track an index of securities, such as the S&amp;P 500 Index, may have higher or different types of fees than an ETF that is designed to track the same index. Whether a fund or ETF is more expensive than another fund or ETF with a similar or identical investment strategy may depend on factors such as length of holding, size of the initial investment</w:t>
      </w:r>
      <w:r w:rsidR="00C64A01" w:rsidRPr="00012B72">
        <w:rPr>
          <w:rFonts w:cstheme="minorHAnsi"/>
        </w:rPr>
        <w:t>,</w:t>
      </w:r>
      <w:r w:rsidR="00BB5817" w:rsidRPr="00012B72">
        <w:rPr>
          <w:rFonts w:cstheme="minorHAnsi"/>
        </w:rPr>
        <w:t xml:space="preserve"> and other factors. </w:t>
      </w:r>
      <w:r w:rsidR="003F7D94" w:rsidRPr="00012B72">
        <w:rPr>
          <w:rFonts w:cstheme="minorHAnsi"/>
        </w:rPr>
        <w:t xml:space="preserve">In addition, holding an ETF in a taxable account will generate less tax liabilities than a similarly structured mutual fund. </w:t>
      </w:r>
      <w:r w:rsidR="009C2F50" w:rsidRPr="00012B72">
        <w:rPr>
          <w:rFonts w:cstheme="minorHAnsi"/>
        </w:rPr>
        <w:t>BSL</w:t>
      </w:r>
      <w:r w:rsidR="00BB5817" w:rsidRPr="00012B72">
        <w:rPr>
          <w:rFonts w:cstheme="minorHAnsi"/>
        </w:rPr>
        <w:t xml:space="preserve"> and </w:t>
      </w:r>
      <w:r w:rsidR="00C64A01" w:rsidRPr="00012B72">
        <w:rPr>
          <w:rFonts w:cstheme="minorHAnsi"/>
        </w:rPr>
        <w:t>your</w:t>
      </w:r>
      <w:r w:rsidR="00BB5817" w:rsidRPr="00012B72">
        <w:rPr>
          <w:rFonts w:cstheme="minorHAnsi"/>
        </w:rPr>
        <w:t xml:space="preserve"> financial professional may earn more compensation for one fund or ETF than another, giving </w:t>
      </w:r>
      <w:r w:rsidR="009C2F50" w:rsidRPr="00012B72">
        <w:rPr>
          <w:rFonts w:cstheme="minorHAnsi"/>
        </w:rPr>
        <w:t>BSL</w:t>
      </w:r>
      <w:r w:rsidR="00BB5817" w:rsidRPr="00012B72">
        <w:rPr>
          <w:rFonts w:cstheme="minorHAnsi"/>
        </w:rPr>
        <w:t xml:space="preserve"> and </w:t>
      </w:r>
      <w:r w:rsidR="00C64A01" w:rsidRPr="00012B72">
        <w:rPr>
          <w:rFonts w:cstheme="minorHAnsi"/>
        </w:rPr>
        <w:t>your</w:t>
      </w:r>
      <w:r w:rsidR="00BB5817" w:rsidRPr="00012B72">
        <w:rPr>
          <w:rFonts w:cstheme="minorHAnsi"/>
        </w:rPr>
        <w:t xml:space="preserve"> financial professional an incentive to recommend the product that pays more compensation to us.</w:t>
      </w:r>
    </w:p>
    <w:p w14:paraId="489E0F07" w14:textId="77777777" w:rsidR="00B43951" w:rsidRPr="007E4833" w:rsidRDefault="00B43951" w:rsidP="007E4833">
      <w:pPr>
        <w:pStyle w:val="BodyText"/>
        <w:jc w:val="both"/>
        <w:rPr>
          <w:rFonts w:cstheme="minorHAnsi"/>
        </w:rPr>
      </w:pPr>
    </w:p>
    <w:p w14:paraId="630C4B53" w14:textId="77777777" w:rsidR="004E4427" w:rsidRPr="007E4833" w:rsidRDefault="00C051CD" w:rsidP="007E4833">
      <w:pPr>
        <w:pStyle w:val="BodyText"/>
        <w:jc w:val="both"/>
        <w:rPr>
          <w:rFonts w:cstheme="minorHAnsi"/>
        </w:rPr>
      </w:pPr>
      <w:r w:rsidRPr="007E4833">
        <w:rPr>
          <w:rFonts w:cstheme="minorHAnsi"/>
        </w:rPr>
        <w:t>You should</w:t>
      </w:r>
      <w:r w:rsidR="00B43951" w:rsidRPr="007E4833">
        <w:rPr>
          <w:rFonts w:cstheme="minorHAnsi"/>
        </w:rPr>
        <w:t xml:space="preserve"> familiarize yourself with tools and information that will help you make sound decisions about investing.  </w:t>
      </w:r>
    </w:p>
    <w:p w14:paraId="01F641AC" w14:textId="77777777" w:rsidR="004E4427" w:rsidRPr="007E4833" w:rsidRDefault="004E4427" w:rsidP="007E4833">
      <w:pPr>
        <w:pStyle w:val="BodyText"/>
        <w:jc w:val="both"/>
        <w:rPr>
          <w:rFonts w:cstheme="minorHAnsi"/>
        </w:rPr>
      </w:pPr>
    </w:p>
    <w:p w14:paraId="72B34FDD" w14:textId="69B28DC9" w:rsidR="00B43951" w:rsidRPr="007E4833" w:rsidRDefault="00B43951" w:rsidP="007E4833">
      <w:pPr>
        <w:pStyle w:val="BodyText"/>
        <w:jc w:val="both"/>
        <w:rPr>
          <w:rFonts w:cstheme="minorHAnsi"/>
        </w:rPr>
      </w:pPr>
      <w:r w:rsidRPr="007E4833">
        <w:rPr>
          <w:rFonts w:cstheme="minorHAnsi"/>
        </w:rPr>
        <w:lastRenderedPageBreak/>
        <w:t xml:space="preserve">We encourage you to refer to FINRA’s Fund Analyzer </w:t>
      </w:r>
      <w:r w:rsidR="00CD07B0" w:rsidRPr="007E4833">
        <w:rPr>
          <w:rFonts w:cstheme="minorHAnsi"/>
        </w:rPr>
        <w:t>and 529 Savings Plan Analyzer found here:</w:t>
      </w:r>
    </w:p>
    <w:p w14:paraId="5F421B4E" w14:textId="77777777" w:rsidR="004E4427" w:rsidRPr="007E4833" w:rsidRDefault="004E4427" w:rsidP="007E4833">
      <w:pPr>
        <w:jc w:val="both"/>
        <w:rPr>
          <w:rFonts w:cstheme="minorHAnsi"/>
          <w:sz w:val="22"/>
          <w:szCs w:val="22"/>
        </w:rPr>
      </w:pPr>
    </w:p>
    <w:tbl>
      <w:tblPr>
        <w:tblStyle w:val="LightShading-Accent1"/>
        <w:tblpPr w:leftFromText="180" w:rightFromText="180" w:vertAnchor="text" w:tblpX="360" w:tblpY="1"/>
        <w:tblOverlap w:val="never"/>
        <w:tblW w:w="8838" w:type="dxa"/>
        <w:tblLook w:val="04A0" w:firstRow="1" w:lastRow="0" w:firstColumn="1" w:lastColumn="0" w:noHBand="0" w:noVBand="1"/>
      </w:tblPr>
      <w:tblGrid>
        <w:gridCol w:w="2988"/>
        <w:gridCol w:w="5850"/>
      </w:tblGrid>
      <w:tr w:rsidR="00C051CD" w:rsidRPr="007E4833" w14:paraId="09F3FFB9" w14:textId="77777777" w:rsidTr="00C051CD">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988" w:type="dxa"/>
            <w:hideMark/>
          </w:tcPr>
          <w:p w14:paraId="7E5620F6" w14:textId="77777777" w:rsidR="00C051CD" w:rsidRPr="007E4833" w:rsidRDefault="00C051CD" w:rsidP="007E4833">
            <w:pPr>
              <w:jc w:val="both"/>
              <w:rPr>
                <w:rFonts w:eastAsia="Times New Roman" w:cstheme="minorHAnsi"/>
                <w:color w:val="212529"/>
              </w:rPr>
            </w:pPr>
            <w:r w:rsidRPr="007E4833">
              <w:rPr>
                <w:rFonts w:eastAsia="Times New Roman" w:cstheme="minorHAnsi"/>
                <w:color w:val="212529"/>
              </w:rPr>
              <w:t>Title</w:t>
            </w:r>
          </w:p>
        </w:tc>
        <w:tc>
          <w:tcPr>
            <w:tcW w:w="5850" w:type="dxa"/>
            <w:hideMark/>
          </w:tcPr>
          <w:p w14:paraId="493B7B3F" w14:textId="77777777" w:rsidR="00C051CD" w:rsidRPr="007E4833" w:rsidRDefault="00C051CD" w:rsidP="007E4833">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E4833">
              <w:rPr>
                <w:rFonts w:cstheme="minorHAnsi"/>
              </w:rPr>
              <w:t>Web Address</w:t>
            </w:r>
          </w:p>
        </w:tc>
      </w:tr>
      <w:tr w:rsidR="00C051CD" w:rsidRPr="007E4833" w14:paraId="37317C88" w14:textId="77777777" w:rsidTr="00C051CD">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vAlign w:val="bottom"/>
            <w:hideMark/>
          </w:tcPr>
          <w:p w14:paraId="70A61BE5" w14:textId="19648798" w:rsidR="00C051CD" w:rsidRPr="007E4833" w:rsidRDefault="00C051CD" w:rsidP="007E4833">
            <w:pPr>
              <w:jc w:val="both"/>
              <w:rPr>
                <w:rFonts w:eastAsia="Times New Roman" w:cstheme="minorHAnsi"/>
                <w:color w:val="212529"/>
              </w:rPr>
            </w:pPr>
            <w:r w:rsidRPr="007E4833">
              <w:rPr>
                <w:rFonts w:eastAsia="Times New Roman" w:cstheme="minorHAnsi"/>
                <w:color w:val="000000"/>
                <w:sz w:val="20"/>
                <w:szCs w:val="20"/>
              </w:rPr>
              <w:t>Fund Analyzer</w:t>
            </w:r>
          </w:p>
        </w:tc>
        <w:tc>
          <w:tcPr>
            <w:tcW w:w="5850" w:type="dxa"/>
            <w:tcBorders>
              <w:top w:val="nil"/>
              <w:bottom w:val="nil"/>
            </w:tcBorders>
            <w:vAlign w:val="bottom"/>
            <w:hideMark/>
          </w:tcPr>
          <w:p w14:paraId="2F89092B" w14:textId="1B3015CE" w:rsidR="00C051CD" w:rsidRPr="007E4833" w:rsidRDefault="00D40186"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21" w:history="1">
              <w:r w:rsidR="00C051CD" w:rsidRPr="007E4833">
                <w:rPr>
                  <w:rFonts w:eastAsia="Times New Roman" w:cstheme="minorHAnsi"/>
                  <w:color w:val="0000FF"/>
                  <w:u w:val="single"/>
                </w:rPr>
                <w:t>https://tools.finra.org/fund_analyzer/</w:t>
              </w:r>
            </w:hyperlink>
          </w:p>
        </w:tc>
      </w:tr>
      <w:tr w:rsidR="00C051CD" w:rsidRPr="007E4833" w14:paraId="4EF7E7F8" w14:textId="77777777" w:rsidTr="00C051CD">
        <w:trPr>
          <w:trHeight w:val="637"/>
        </w:trPr>
        <w:tc>
          <w:tcPr>
            <w:cnfStyle w:val="001000000000" w:firstRow="0" w:lastRow="0" w:firstColumn="1" w:lastColumn="0" w:oddVBand="0" w:evenVBand="0" w:oddHBand="0" w:evenHBand="0" w:firstRowFirstColumn="0" w:firstRowLastColumn="0" w:lastRowFirstColumn="0" w:lastRowLastColumn="0"/>
            <w:tcW w:w="2988" w:type="dxa"/>
            <w:tcBorders>
              <w:top w:val="nil"/>
              <w:left w:val="nil"/>
              <w:bottom w:val="nil"/>
              <w:right w:val="nil"/>
            </w:tcBorders>
            <w:vAlign w:val="bottom"/>
            <w:hideMark/>
          </w:tcPr>
          <w:p w14:paraId="008332F2" w14:textId="76EB3DEF" w:rsidR="00C051CD" w:rsidRPr="007E4833" w:rsidRDefault="00C051CD" w:rsidP="007E4833">
            <w:pPr>
              <w:jc w:val="both"/>
              <w:rPr>
                <w:rFonts w:eastAsia="Times New Roman" w:cstheme="minorHAnsi"/>
                <w:color w:val="212529"/>
              </w:rPr>
            </w:pPr>
            <w:r w:rsidRPr="007E4833">
              <w:rPr>
                <w:rFonts w:eastAsia="Times New Roman" w:cstheme="minorHAnsi"/>
                <w:color w:val="000000"/>
                <w:sz w:val="20"/>
                <w:szCs w:val="20"/>
              </w:rPr>
              <w:t>529 Savings Plan Analyzer</w:t>
            </w:r>
          </w:p>
        </w:tc>
        <w:tc>
          <w:tcPr>
            <w:tcW w:w="5850" w:type="dxa"/>
            <w:tcBorders>
              <w:top w:val="nil"/>
              <w:left w:val="nil"/>
              <w:bottom w:val="nil"/>
              <w:right w:val="nil"/>
            </w:tcBorders>
            <w:vAlign w:val="bottom"/>
            <w:hideMark/>
          </w:tcPr>
          <w:p w14:paraId="4446109B" w14:textId="49D3618C" w:rsidR="00C051CD" w:rsidRPr="007E4833" w:rsidRDefault="00D40186"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22" w:history="1">
              <w:r w:rsidR="00C051CD" w:rsidRPr="007E4833">
                <w:rPr>
                  <w:rFonts w:eastAsia="Times New Roman" w:cstheme="minorHAnsi"/>
                  <w:color w:val="0000FF"/>
                  <w:u w:val="single"/>
                </w:rPr>
                <w:t>https://tools.finra.org/529_calculator/main</w:t>
              </w:r>
            </w:hyperlink>
          </w:p>
        </w:tc>
      </w:tr>
    </w:tbl>
    <w:p w14:paraId="14E35E25" w14:textId="77777777" w:rsidR="00C051CD" w:rsidRPr="007E4833" w:rsidRDefault="00C051CD" w:rsidP="007E4833">
      <w:pPr>
        <w:jc w:val="both"/>
        <w:rPr>
          <w:rFonts w:cstheme="minorHAnsi"/>
          <w:sz w:val="20"/>
          <w:szCs w:val="20"/>
        </w:rPr>
      </w:pPr>
    </w:p>
    <w:p w14:paraId="04767670" w14:textId="77777777" w:rsidR="008D3722" w:rsidRPr="007E4833" w:rsidRDefault="008D3722" w:rsidP="007E4833">
      <w:pPr>
        <w:jc w:val="both"/>
        <w:rPr>
          <w:rFonts w:cstheme="minorHAnsi"/>
          <w:b/>
          <w:bCs/>
          <w:sz w:val="20"/>
          <w:szCs w:val="20"/>
        </w:rPr>
      </w:pPr>
    </w:p>
    <w:p w14:paraId="283DA303" w14:textId="64A7F941" w:rsidR="000A2655" w:rsidRPr="007E4833" w:rsidRDefault="009C2F50" w:rsidP="007E4833">
      <w:pPr>
        <w:pStyle w:val="BodyText"/>
        <w:ind w:right="42"/>
        <w:jc w:val="both"/>
        <w:rPr>
          <w:rFonts w:eastAsiaTheme="minorHAnsi" w:cstheme="minorHAnsi"/>
          <w:lang w:bidi="ar-SA"/>
        </w:rPr>
      </w:pPr>
      <w:r w:rsidRPr="007E4833">
        <w:rPr>
          <w:rFonts w:eastAsiaTheme="minorHAnsi" w:cstheme="minorHAnsi"/>
          <w:lang w:bidi="ar-SA"/>
        </w:rPr>
        <w:t>BSL</w:t>
      </w:r>
      <w:r w:rsidR="000A2655" w:rsidRPr="007E4833">
        <w:rPr>
          <w:rFonts w:eastAsiaTheme="minorHAnsi" w:cstheme="minorHAnsi"/>
          <w:lang w:bidi="ar-SA"/>
        </w:rPr>
        <w:t xml:space="preserve"> do</w:t>
      </w:r>
      <w:r w:rsidR="0026732A" w:rsidRPr="007E4833">
        <w:rPr>
          <w:rFonts w:eastAsiaTheme="minorHAnsi" w:cstheme="minorHAnsi"/>
          <w:lang w:bidi="ar-SA"/>
        </w:rPr>
        <w:t>es</w:t>
      </w:r>
      <w:r w:rsidR="000A2655" w:rsidRPr="007E4833">
        <w:rPr>
          <w:rFonts w:eastAsiaTheme="minorHAnsi" w:cstheme="minorHAnsi"/>
          <w:lang w:bidi="ar-SA"/>
        </w:rPr>
        <w:t xml:space="preserve"> not offer all the securities and services available across the broad markets due to structure, size, and liquidity of the security or similar characteristics of the security or underlying investments, and decisions made for product offerings by our </w:t>
      </w:r>
      <w:r w:rsidR="00C051CD" w:rsidRPr="007E4833">
        <w:rPr>
          <w:rFonts w:eastAsiaTheme="minorHAnsi" w:cstheme="minorHAnsi"/>
          <w:lang w:bidi="ar-SA"/>
        </w:rPr>
        <w:t>principals</w:t>
      </w:r>
      <w:r w:rsidR="000A2655" w:rsidRPr="007E4833">
        <w:rPr>
          <w:rFonts w:eastAsiaTheme="minorHAnsi" w:cstheme="minorHAnsi"/>
          <w:lang w:bidi="ar-SA"/>
        </w:rPr>
        <w:t xml:space="preserve"> team or </w:t>
      </w:r>
      <w:r w:rsidR="005853B6" w:rsidRPr="007E4833">
        <w:rPr>
          <w:rFonts w:eastAsiaTheme="minorHAnsi" w:cstheme="minorHAnsi"/>
          <w:lang w:bidi="ar-SA"/>
        </w:rPr>
        <w:t>Vision Financial Markets</w:t>
      </w:r>
      <w:r w:rsidR="000A2655" w:rsidRPr="007E4833">
        <w:rPr>
          <w:rFonts w:eastAsiaTheme="minorHAnsi" w:cstheme="minorHAnsi"/>
          <w:lang w:bidi="ar-SA"/>
        </w:rPr>
        <w:t>.</w:t>
      </w:r>
      <w:r w:rsidR="0026732A" w:rsidRPr="007E4833">
        <w:rPr>
          <w:rFonts w:eastAsiaTheme="minorHAnsi" w:cstheme="minorHAnsi"/>
          <w:lang w:bidi="ar-SA"/>
        </w:rPr>
        <w:t xml:space="preserve"> </w:t>
      </w:r>
      <w:r w:rsidR="00C051CD" w:rsidRPr="007E4833">
        <w:rPr>
          <w:rFonts w:eastAsiaTheme="minorHAnsi" w:cstheme="minorHAnsi"/>
          <w:lang w:bidi="ar-SA"/>
        </w:rPr>
        <w:t>F</w:t>
      </w:r>
      <w:r w:rsidR="0026732A" w:rsidRPr="007E4833">
        <w:rPr>
          <w:rFonts w:eastAsiaTheme="minorHAnsi" w:cstheme="minorHAnsi"/>
          <w:lang w:bidi="ar-SA"/>
        </w:rPr>
        <w:t xml:space="preserve">unds available for purchase through </w:t>
      </w:r>
      <w:r w:rsidRPr="007E4833">
        <w:rPr>
          <w:rFonts w:eastAsiaTheme="minorHAnsi" w:cstheme="minorHAnsi"/>
          <w:lang w:bidi="ar-SA"/>
        </w:rPr>
        <w:t>BSL</w:t>
      </w:r>
      <w:r w:rsidR="0026732A" w:rsidRPr="007E4833">
        <w:rPr>
          <w:rFonts w:eastAsiaTheme="minorHAnsi" w:cstheme="minorHAnsi"/>
          <w:lang w:bidi="ar-SA"/>
        </w:rPr>
        <w:t xml:space="preserve"> are generally limited to fund companies with which we have selling agreements or that have agreements in place with our custodians</w:t>
      </w:r>
      <w:r w:rsidR="00CD07B0" w:rsidRPr="007E4833">
        <w:rPr>
          <w:rFonts w:eastAsiaTheme="minorHAnsi" w:cstheme="minorHAnsi"/>
          <w:lang w:bidi="ar-SA"/>
        </w:rPr>
        <w:t>.</w:t>
      </w:r>
      <w:r w:rsidR="0026732A" w:rsidRPr="007E4833">
        <w:rPr>
          <w:rFonts w:eastAsiaTheme="minorHAnsi" w:cstheme="minorHAnsi"/>
          <w:lang w:bidi="ar-SA"/>
        </w:rPr>
        <w:t xml:space="preserve"> </w:t>
      </w:r>
      <w:r w:rsidR="00CD07B0" w:rsidRPr="007E4833">
        <w:rPr>
          <w:rFonts w:eastAsiaTheme="minorHAnsi" w:cstheme="minorHAnsi"/>
          <w:lang w:bidi="ar-SA"/>
        </w:rPr>
        <w:t>Not</w:t>
      </w:r>
      <w:r w:rsidR="0026732A" w:rsidRPr="007E4833">
        <w:rPr>
          <w:rFonts w:eastAsiaTheme="minorHAnsi" w:cstheme="minorHAnsi"/>
          <w:lang w:bidi="ar-SA"/>
        </w:rPr>
        <w:t xml:space="preserve"> all mutual funds available to the investing public will be available to you through </w:t>
      </w:r>
      <w:r w:rsidRPr="007E4833">
        <w:rPr>
          <w:rFonts w:eastAsiaTheme="minorHAnsi" w:cstheme="minorHAnsi"/>
          <w:lang w:bidi="ar-SA"/>
        </w:rPr>
        <w:t>BSL</w:t>
      </w:r>
      <w:r w:rsidR="0026732A" w:rsidRPr="007E4833">
        <w:rPr>
          <w:rFonts w:eastAsiaTheme="minorHAnsi" w:cstheme="minorHAnsi"/>
          <w:lang w:bidi="ar-SA"/>
        </w:rPr>
        <w:t xml:space="preserve">, including funds with lower fees and expenses. All share classes offered by a fund company are also not always available due to the selling agreements we have negotiated. This means that lower cost share classes might not be available to you through </w:t>
      </w:r>
      <w:r w:rsidRPr="007E4833">
        <w:rPr>
          <w:rFonts w:eastAsiaTheme="minorHAnsi" w:cstheme="minorHAnsi"/>
          <w:lang w:bidi="ar-SA"/>
        </w:rPr>
        <w:t>BSL</w:t>
      </w:r>
      <w:r w:rsidR="0026732A" w:rsidRPr="007E4833">
        <w:rPr>
          <w:rFonts w:eastAsiaTheme="minorHAnsi" w:cstheme="minorHAnsi"/>
          <w:lang w:bidi="ar-SA"/>
        </w:rPr>
        <w:t xml:space="preserve">, even though you might otherwise be eligible to purchase those lower share classes elsewhere. </w:t>
      </w:r>
    </w:p>
    <w:p w14:paraId="61E88002" w14:textId="77777777" w:rsidR="0026732A" w:rsidRPr="007E4833" w:rsidRDefault="0026732A" w:rsidP="007E4833">
      <w:pPr>
        <w:pStyle w:val="BodyText"/>
        <w:ind w:right="42"/>
        <w:jc w:val="both"/>
        <w:rPr>
          <w:rFonts w:eastAsiaTheme="minorHAnsi" w:cstheme="minorHAnsi"/>
          <w:lang w:bidi="ar-SA"/>
        </w:rPr>
      </w:pPr>
    </w:p>
    <w:p w14:paraId="3494B82B" w14:textId="3ED28ABE" w:rsidR="0026732A" w:rsidRPr="007E4833" w:rsidRDefault="0026732A" w:rsidP="007E4833">
      <w:pPr>
        <w:pStyle w:val="BodyText"/>
        <w:ind w:right="42"/>
        <w:jc w:val="both"/>
        <w:rPr>
          <w:rFonts w:cstheme="minorHAnsi"/>
        </w:rPr>
      </w:pPr>
      <w:r w:rsidRPr="007E4833">
        <w:rPr>
          <w:rFonts w:eastAsiaTheme="minorHAnsi" w:cstheme="minorHAnsi"/>
          <w:lang w:bidi="ar-SA"/>
        </w:rPr>
        <w:t xml:space="preserve">Some </w:t>
      </w:r>
      <w:r w:rsidRPr="007E4833">
        <w:rPr>
          <w:rFonts w:cstheme="minorHAnsi"/>
        </w:rPr>
        <w:t>mutual funds and other products</w:t>
      </w:r>
      <w:r w:rsidRPr="007E4833">
        <w:rPr>
          <w:rFonts w:eastAsiaTheme="minorHAnsi" w:cstheme="minorHAnsi"/>
          <w:lang w:bidi="ar-SA"/>
        </w:rPr>
        <w:t xml:space="preserve"> offer lower commissions for higher investment amounts.  This discounts are called “breakpoints.” Because an investor meeting a breakpoint pays a lower sales concession, we </w:t>
      </w:r>
      <w:r w:rsidRPr="007E4833">
        <w:rPr>
          <w:rFonts w:cstheme="minorHAnsi"/>
        </w:rPr>
        <w:t>are incentivized to make</w:t>
      </w:r>
      <w:r w:rsidRPr="007E4833">
        <w:rPr>
          <w:rFonts w:eastAsiaTheme="minorHAnsi" w:cstheme="minorHAnsi"/>
          <w:lang w:bidi="ar-SA"/>
        </w:rPr>
        <w:t xml:space="preserve"> investment recommendations below the breakpoint.  </w:t>
      </w:r>
      <w:r w:rsidRPr="007E4833">
        <w:rPr>
          <w:rFonts w:cstheme="minorHAnsi"/>
        </w:rPr>
        <w:t>The prospectus you receive in connection with your investment provides important information about breakpoints that should be used to help inform you investment decision.  You should also familiarize yourself with tools and information that will help you make sound decisions about investing in products with breakpoints.  We encourage you to refer to FINRA’s Investor Alert titled “</w:t>
      </w:r>
      <w:r w:rsidRPr="007E4833">
        <w:rPr>
          <w:rFonts w:eastAsiaTheme="minorHAnsi" w:cstheme="minorHAnsi"/>
          <w:lang w:bidi="ar-SA"/>
        </w:rPr>
        <w:t>Mutual Fund Breakpoints: A Break Worth Taking” and</w:t>
      </w:r>
      <w:r w:rsidRPr="007E4833">
        <w:rPr>
          <w:rFonts w:cstheme="minorHAnsi"/>
        </w:rPr>
        <w:t xml:space="preserve"> other tools and information available at </w:t>
      </w:r>
      <w:hyperlink r:id="rId23" w:history="1">
        <w:r w:rsidR="004E4427" w:rsidRPr="007E4833">
          <w:rPr>
            <w:rStyle w:val="Hyperlink"/>
            <w:rFonts w:cstheme="minorHAnsi"/>
          </w:rPr>
          <w:t>https://www.finra.org/investors/alerts</w:t>
        </w:r>
      </w:hyperlink>
      <w:r w:rsidR="004E4427" w:rsidRPr="007E4833">
        <w:rPr>
          <w:rFonts w:cstheme="minorHAnsi"/>
        </w:rPr>
        <w:t xml:space="preserve"> .</w:t>
      </w:r>
    </w:p>
    <w:p w14:paraId="2F50F414" w14:textId="77777777" w:rsidR="0026732A" w:rsidRPr="007E4833" w:rsidRDefault="0026732A" w:rsidP="007E4833">
      <w:pPr>
        <w:pStyle w:val="BodyText"/>
        <w:ind w:right="42"/>
        <w:jc w:val="both"/>
        <w:rPr>
          <w:rFonts w:eastAsiaTheme="minorHAnsi" w:cstheme="minorHAnsi"/>
          <w:lang w:bidi="ar-SA"/>
        </w:rPr>
      </w:pPr>
    </w:p>
    <w:p w14:paraId="10076306" w14:textId="35EA2AD3" w:rsidR="0026732A" w:rsidRPr="007E4833" w:rsidRDefault="0026732A" w:rsidP="007E4833">
      <w:pPr>
        <w:pStyle w:val="BodyText"/>
        <w:ind w:right="42"/>
        <w:jc w:val="both"/>
        <w:rPr>
          <w:rFonts w:eastAsiaTheme="minorHAnsi" w:cstheme="minorHAnsi"/>
          <w:lang w:bidi="ar-SA"/>
        </w:rPr>
      </w:pPr>
      <w:r w:rsidRPr="007E4833">
        <w:rPr>
          <w:rFonts w:eastAsiaTheme="minorHAnsi" w:cstheme="minorHAnsi"/>
          <w:lang w:bidi="ar-SA"/>
        </w:rPr>
        <w:t xml:space="preserve">Products that include alternative investments impose minimum account sizes and also require that investors meet specific criteria. Therefore, these products are not offered or available to all investors. </w:t>
      </w:r>
    </w:p>
    <w:p w14:paraId="40F5EF4D" w14:textId="77777777" w:rsidR="0026732A" w:rsidRPr="007E4833" w:rsidRDefault="0026732A" w:rsidP="007E4833">
      <w:pPr>
        <w:pStyle w:val="BodyText"/>
        <w:ind w:right="42"/>
        <w:jc w:val="both"/>
        <w:rPr>
          <w:rFonts w:eastAsiaTheme="minorHAnsi" w:cstheme="minorHAnsi"/>
          <w:lang w:bidi="ar-SA"/>
        </w:rPr>
      </w:pPr>
    </w:p>
    <w:p w14:paraId="7379AFEC" w14:textId="415F3071" w:rsidR="0026732A" w:rsidRPr="007E4833" w:rsidRDefault="0026732A" w:rsidP="007E4833">
      <w:pPr>
        <w:pStyle w:val="BodyText"/>
        <w:ind w:right="42"/>
        <w:jc w:val="both"/>
        <w:rPr>
          <w:rFonts w:eastAsiaTheme="minorHAnsi" w:cstheme="minorHAnsi"/>
          <w:lang w:bidi="ar-SA"/>
        </w:rPr>
      </w:pPr>
      <w:r w:rsidRPr="007E4833">
        <w:rPr>
          <w:rFonts w:eastAsiaTheme="minorHAnsi" w:cstheme="minorHAnsi"/>
          <w:lang w:bidi="ar-SA"/>
        </w:rPr>
        <w:t xml:space="preserve">When applicable, </w:t>
      </w:r>
      <w:r w:rsidR="009C2F50" w:rsidRPr="007E4833">
        <w:rPr>
          <w:rFonts w:eastAsiaTheme="minorHAnsi" w:cstheme="minorHAnsi"/>
          <w:lang w:bidi="ar-SA"/>
        </w:rPr>
        <w:t>BSL</w:t>
      </w:r>
      <w:r w:rsidRPr="007E4833">
        <w:rPr>
          <w:rFonts w:eastAsiaTheme="minorHAnsi" w:cstheme="minorHAnsi"/>
          <w:lang w:bidi="ar-SA"/>
        </w:rPr>
        <w:t xml:space="preserve"> provides product-specific limitations and criteria at the time of the recommendation, including through prospectuses or offering materials.</w:t>
      </w:r>
      <w:r w:rsidR="007D4EB2" w:rsidRPr="007E4833">
        <w:rPr>
          <w:rFonts w:eastAsiaTheme="minorHAnsi" w:cstheme="minorHAnsi"/>
          <w:lang w:bidi="ar-SA"/>
        </w:rPr>
        <w:t xml:space="preserve"> These documents </w:t>
      </w:r>
      <w:r w:rsidR="004E4427" w:rsidRPr="007E4833">
        <w:rPr>
          <w:rFonts w:eastAsiaTheme="minorHAnsi" w:cstheme="minorHAnsi"/>
          <w:lang w:bidi="ar-SA"/>
        </w:rPr>
        <w:t>are</w:t>
      </w:r>
      <w:r w:rsidR="007D4EB2" w:rsidRPr="007E4833">
        <w:rPr>
          <w:rFonts w:eastAsiaTheme="minorHAnsi" w:cstheme="minorHAnsi"/>
          <w:lang w:bidi="ar-SA"/>
        </w:rPr>
        <w:t xml:space="preserve"> your primary source of information. </w:t>
      </w:r>
    </w:p>
    <w:p w14:paraId="4D65A6F5" w14:textId="77777777" w:rsidR="004E4427" w:rsidRPr="007E4833" w:rsidRDefault="004E4427" w:rsidP="007E4833">
      <w:pPr>
        <w:pStyle w:val="BodyText"/>
        <w:ind w:right="42"/>
        <w:jc w:val="both"/>
        <w:rPr>
          <w:rFonts w:eastAsiaTheme="minorHAnsi" w:cstheme="minorHAnsi"/>
          <w:lang w:bidi="ar-SA"/>
        </w:rPr>
      </w:pPr>
    </w:p>
    <w:p w14:paraId="0098A568" w14:textId="77777777" w:rsidR="004E4427" w:rsidRPr="007E4833" w:rsidRDefault="004E4427" w:rsidP="007E4833">
      <w:pPr>
        <w:jc w:val="both"/>
        <w:rPr>
          <w:rFonts w:cstheme="minorHAnsi"/>
          <w:bCs/>
          <w:sz w:val="22"/>
          <w:szCs w:val="22"/>
        </w:rPr>
      </w:pPr>
      <w:r w:rsidRPr="007E4833">
        <w:rPr>
          <w:rFonts w:cstheme="minorHAnsi"/>
          <w:bCs/>
          <w:sz w:val="22"/>
          <w:szCs w:val="22"/>
        </w:rPr>
        <w:t>There are many types of Mutual Funds.  Here are descriptions of some of the varieties and links to more information:</w:t>
      </w:r>
    </w:p>
    <w:p w14:paraId="7B0E2D5E" w14:textId="77777777" w:rsidR="004E4427" w:rsidRPr="007E4833" w:rsidRDefault="004E4427" w:rsidP="007E4833">
      <w:pPr>
        <w:jc w:val="both"/>
        <w:rPr>
          <w:rFonts w:cstheme="minorHAnsi"/>
          <w:bCs/>
          <w:sz w:val="22"/>
          <w:szCs w:val="22"/>
        </w:rPr>
      </w:pPr>
    </w:p>
    <w:p w14:paraId="69EF5DE4" w14:textId="77777777" w:rsidR="004E4427" w:rsidRPr="007E4833" w:rsidRDefault="004E4427" w:rsidP="007E4833">
      <w:pPr>
        <w:pStyle w:val="ListParagraph"/>
        <w:numPr>
          <w:ilvl w:val="0"/>
          <w:numId w:val="19"/>
        </w:numPr>
        <w:contextualSpacing w:val="0"/>
        <w:jc w:val="both"/>
        <w:rPr>
          <w:rFonts w:cstheme="minorHAnsi"/>
          <w:b/>
          <w:bCs/>
          <w:sz w:val="22"/>
          <w:szCs w:val="22"/>
        </w:rPr>
      </w:pPr>
      <w:r w:rsidRPr="007E4833">
        <w:rPr>
          <w:rFonts w:cstheme="minorHAnsi"/>
          <w:b/>
          <w:bCs/>
          <w:sz w:val="22"/>
          <w:szCs w:val="22"/>
        </w:rPr>
        <w:t>Alternative Mutual Funds</w:t>
      </w:r>
    </w:p>
    <w:p w14:paraId="1EF1EB0B" w14:textId="77777777" w:rsidR="004E4427" w:rsidRPr="007E4833" w:rsidRDefault="00D40186" w:rsidP="007E4833">
      <w:pPr>
        <w:pStyle w:val="ListParagraph"/>
        <w:ind w:left="1530"/>
        <w:jc w:val="both"/>
        <w:rPr>
          <w:rFonts w:cstheme="minorHAnsi"/>
          <w:sz w:val="22"/>
          <w:szCs w:val="22"/>
        </w:rPr>
      </w:pPr>
      <w:hyperlink r:id="rId24" w:history="1">
        <w:r w:rsidR="004E4427" w:rsidRPr="007E4833">
          <w:rPr>
            <w:rStyle w:val="Hyperlink"/>
            <w:rFonts w:cstheme="minorHAnsi"/>
            <w:sz w:val="22"/>
            <w:szCs w:val="22"/>
          </w:rPr>
          <w:t>https://www.investor.gov/introduction-investing/investing-basics/investment-products/mutual-funds-and-exchange-traded-funds</w:t>
        </w:r>
      </w:hyperlink>
    </w:p>
    <w:p w14:paraId="41D2B819" w14:textId="77777777" w:rsidR="004E4427" w:rsidRPr="007E4833" w:rsidRDefault="004E4427" w:rsidP="007E4833">
      <w:pPr>
        <w:pStyle w:val="ListParagraph"/>
        <w:ind w:left="1530"/>
        <w:jc w:val="both"/>
        <w:rPr>
          <w:rFonts w:cstheme="minorHAnsi"/>
          <w:sz w:val="22"/>
          <w:szCs w:val="22"/>
        </w:rPr>
      </w:pPr>
      <w:r w:rsidRPr="007E4833">
        <w:rPr>
          <w:rFonts w:cstheme="minorHAnsi"/>
          <w:sz w:val="22"/>
          <w:szCs w:val="22"/>
        </w:rPr>
        <w:t xml:space="preserve">In addition to the usual market and investment risks associated with traditional mutual funds, alt funds may face additional risks to the extent they use relatively complex investment and trading strategies.  Depending on the strategy being used, these </w:t>
      </w:r>
      <w:r w:rsidRPr="007E4833">
        <w:rPr>
          <w:rFonts w:cstheme="minorHAnsi"/>
          <w:sz w:val="22"/>
          <w:szCs w:val="22"/>
        </w:rPr>
        <w:lastRenderedPageBreak/>
        <w:t xml:space="preserve">potential risks can include use of </w:t>
      </w:r>
      <w:hyperlink r:id="rId25" w:history="1">
        <w:r w:rsidRPr="007E4833">
          <w:rPr>
            <w:rStyle w:val="Hyperlink"/>
            <w:rFonts w:cstheme="minorHAnsi"/>
            <w:sz w:val="22"/>
            <w:szCs w:val="22"/>
          </w:rPr>
          <w:t>derivatives</w:t>
        </w:r>
      </w:hyperlink>
      <w:r w:rsidRPr="007E4833">
        <w:rPr>
          <w:rFonts w:cstheme="minorHAnsi"/>
          <w:sz w:val="22"/>
          <w:szCs w:val="22"/>
        </w:rPr>
        <w:t xml:space="preserve"> and leverage, </w:t>
      </w:r>
      <w:hyperlink r:id="rId26" w:history="1">
        <w:r w:rsidRPr="007E4833">
          <w:rPr>
            <w:rStyle w:val="Hyperlink"/>
            <w:rFonts w:cstheme="minorHAnsi"/>
            <w:sz w:val="22"/>
            <w:szCs w:val="22"/>
          </w:rPr>
          <w:t>futures contracts</w:t>
        </w:r>
      </w:hyperlink>
      <w:r w:rsidRPr="007E4833">
        <w:rPr>
          <w:rFonts w:cstheme="minorHAnsi"/>
          <w:sz w:val="22"/>
          <w:szCs w:val="22"/>
        </w:rPr>
        <w:t xml:space="preserve">, </w:t>
      </w:r>
      <w:hyperlink r:id="rId27" w:history="1">
        <w:r w:rsidRPr="007E4833">
          <w:rPr>
            <w:rStyle w:val="Hyperlink"/>
            <w:rFonts w:cstheme="minorHAnsi"/>
            <w:sz w:val="22"/>
            <w:szCs w:val="22"/>
          </w:rPr>
          <w:t>short selling</w:t>
        </w:r>
      </w:hyperlink>
      <w:r w:rsidRPr="007E4833">
        <w:rPr>
          <w:rFonts w:cstheme="minorHAnsi"/>
          <w:sz w:val="22"/>
          <w:szCs w:val="22"/>
        </w:rPr>
        <w:t xml:space="preserve"> and swaps.</w:t>
      </w:r>
    </w:p>
    <w:p w14:paraId="4BED6C46" w14:textId="77777777" w:rsidR="004E4427" w:rsidRPr="007E4833" w:rsidRDefault="004E4427" w:rsidP="007E4833">
      <w:pPr>
        <w:pStyle w:val="ListParagraph"/>
        <w:ind w:left="1530"/>
        <w:jc w:val="both"/>
        <w:rPr>
          <w:rFonts w:cstheme="minorHAnsi"/>
          <w:sz w:val="22"/>
          <w:szCs w:val="22"/>
        </w:rPr>
      </w:pPr>
    </w:p>
    <w:p w14:paraId="6E5FA76C" w14:textId="77777777" w:rsidR="004E4427" w:rsidRPr="007E4833" w:rsidRDefault="004E4427" w:rsidP="007E4833">
      <w:pPr>
        <w:pStyle w:val="ListParagraph"/>
        <w:ind w:left="1530"/>
        <w:jc w:val="both"/>
        <w:rPr>
          <w:rFonts w:cstheme="minorHAnsi"/>
          <w:sz w:val="22"/>
          <w:szCs w:val="22"/>
        </w:rPr>
      </w:pPr>
    </w:p>
    <w:p w14:paraId="66A6CCF3" w14:textId="77777777" w:rsidR="004E4427" w:rsidRPr="007E4833" w:rsidRDefault="004E4427" w:rsidP="007E4833">
      <w:pPr>
        <w:pStyle w:val="ListParagraph"/>
        <w:numPr>
          <w:ilvl w:val="0"/>
          <w:numId w:val="19"/>
        </w:numPr>
        <w:contextualSpacing w:val="0"/>
        <w:jc w:val="both"/>
        <w:rPr>
          <w:rFonts w:cstheme="minorHAnsi"/>
          <w:b/>
          <w:bCs/>
          <w:sz w:val="22"/>
          <w:szCs w:val="22"/>
        </w:rPr>
      </w:pPr>
      <w:r w:rsidRPr="007E4833">
        <w:rPr>
          <w:rFonts w:cstheme="minorHAnsi"/>
          <w:b/>
          <w:bCs/>
          <w:sz w:val="22"/>
          <w:szCs w:val="22"/>
        </w:rPr>
        <w:t>Leveraged Loan Funds</w:t>
      </w:r>
    </w:p>
    <w:p w14:paraId="281163B7" w14:textId="77777777" w:rsidR="004E4427" w:rsidRPr="007E4833" w:rsidRDefault="00D40186" w:rsidP="007E4833">
      <w:pPr>
        <w:pStyle w:val="ListParagraph"/>
        <w:ind w:left="1530"/>
        <w:jc w:val="both"/>
        <w:rPr>
          <w:rFonts w:cstheme="minorHAnsi"/>
          <w:sz w:val="22"/>
          <w:szCs w:val="22"/>
        </w:rPr>
      </w:pPr>
      <w:hyperlink r:id="rId28" w:history="1">
        <w:r w:rsidR="004E4427" w:rsidRPr="007E4833">
          <w:rPr>
            <w:rStyle w:val="Hyperlink"/>
            <w:rFonts w:cstheme="minorHAnsi"/>
            <w:sz w:val="22"/>
            <w:szCs w:val="22"/>
          </w:rPr>
          <w:t>https://www.investor.gov/introduction-investing/investing-basics/investment-products/mutual-funds-and-exchange-traded-0</w:t>
        </w:r>
      </w:hyperlink>
    </w:p>
    <w:p w14:paraId="3E2B2A5D" w14:textId="77777777" w:rsidR="004E4427" w:rsidRPr="007E4833" w:rsidRDefault="004E4427" w:rsidP="007E4833">
      <w:pPr>
        <w:spacing w:before="100" w:beforeAutospacing="1" w:after="100" w:afterAutospacing="1"/>
        <w:ind w:left="1530"/>
        <w:jc w:val="both"/>
        <w:rPr>
          <w:rFonts w:eastAsia="Times New Roman" w:cstheme="minorHAnsi"/>
          <w:sz w:val="22"/>
          <w:szCs w:val="22"/>
        </w:rPr>
      </w:pPr>
      <w:r w:rsidRPr="007E4833">
        <w:rPr>
          <w:rFonts w:eastAsia="Times New Roman" w:cstheme="minorHAnsi"/>
          <w:sz w:val="22"/>
          <w:szCs w:val="22"/>
        </w:rPr>
        <w:t>Like every investment, leveraged loans involve a trade-off between rewards and risks. They could cause the fund (and you) to lose money. Risks include:</w:t>
      </w:r>
    </w:p>
    <w:p w14:paraId="1905052F" w14:textId="77777777" w:rsidR="004E4427" w:rsidRPr="007E4833" w:rsidRDefault="004E4427" w:rsidP="007E4833">
      <w:pPr>
        <w:numPr>
          <w:ilvl w:val="0"/>
          <w:numId w:val="13"/>
        </w:numPr>
        <w:tabs>
          <w:tab w:val="clear" w:pos="720"/>
          <w:tab w:val="num" w:pos="990"/>
        </w:tabs>
        <w:spacing w:before="100" w:beforeAutospacing="1" w:after="100" w:afterAutospacing="1"/>
        <w:ind w:left="1530" w:firstLine="0"/>
        <w:jc w:val="both"/>
        <w:rPr>
          <w:rFonts w:eastAsia="Times New Roman" w:cstheme="minorHAnsi"/>
          <w:sz w:val="22"/>
          <w:szCs w:val="22"/>
        </w:rPr>
      </w:pPr>
      <w:r w:rsidRPr="007E4833">
        <w:rPr>
          <w:rFonts w:eastAsia="Times New Roman" w:cstheme="minorHAnsi"/>
          <w:b/>
          <w:bCs/>
          <w:sz w:val="22"/>
          <w:szCs w:val="22"/>
        </w:rPr>
        <w:t>Credit default</w:t>
      </w:r>
      <w:r w:rsidRPr="007E4833">
        <w:rPr>
          <w:rFonts w:eastAsia="Times New Roman" w:cstheme="minorHAnsi"/>
          <w:sz w:val="22"/>
          <w:szCs w:val="22"/>
        </w:rPr>
        <w:t>: Borrowers of leveraged loans may go out of business or become unable to pay their debts. This risk could be heightened if interest rates rise or the economy declines. While leveraged loans may be secured by collateral, the value of that collateral may not be sufficient to repay the lender if the borrower is unable to pay back the loan.</w:t>
      </w:r>
    </w:p>
    <w:p w14:paraId="70A495EB" w14:textId="77777777" w:rsidR="004E4427" w:rsidRPr="007E4833" w:rsidRDefault="004E4427" w:rsidP="007E4833">
      <w:pPr>
        <w:numPr>
          <w:ilvl w:val="0"/>
          <w:numId w:val="13"/>
        </w:numPr>
        <w:tabs>
          <w:tab w:val="clear" w:pos="720"/>
          <w:tab w:val="num" w:pos="990"/>
        </w:tabs>
        <w:spacing w:before="100" w:beforeAutospacing="1" w:after="100" w:afterAutospacing="1"/>
        <w:ind w:left="1530" w:firstLine="0"/>
        <w:jc w:val="both"/>
        <w:rPr>
          <w:rFonts w:eastAsia="Times New Roman" w:cstheme="minorHAnsi"/>
          <w:sz w:val="22"/>
          <w:szCs w:val="22"/>
        </w:rPr>
      </w:pPr>
      <w:r w:rsidRPr="007E4833">
        <w:rPr>
          <w:rFonts w:eastAsia="Times New Roman" w:cstheme="minorHAnsi"/>
          <w:b/>
          <w:bCs/>
          <w:sz w:val="22"/>
          <w:szCs w:val="22"/>
        </w:rPr>
        <w:t>Liquidity</w:t>
      </w:r>
      <w:r w:rsidRPr="007E4833">
        <w:rPr>
          <w:rFonts w:eastAsia="Times New Roman" w:cstheme="minorHAnsi"/>
          <w:sz w:val="22"/>
          <w:szCs w:val="22"/>
        </w:rPr>
        <w:t>: Leveraged loans may not be as easily purchased or sold as publicly-traded securities. In addition, leveraged loans typically have a long settlement period, meaning it could take the fund a long time to get its money after selling its investment. This could present a challenge for a fund if it concentrates its investments in leveraged loans and needs to sell many investments quickly, which could in turn affect the value of your investment. </w:t>
      </w:r>
    </w:p>
    <w:p w14:paraId="75183AE6" w14:textId="77777777" w:rsidR="004E4427" w:rsidRPr="007E4833" w:rsidRDefault="004E4427" w:rsidP="007E4833">
      <w:pPr>
        <w:numPr>
          <w:ilvl w:val="0"/>
          <w:numId w:val="13"/>
        </w:numPr>
        <w:tabs>
          <w:tab w:val="clear" w:pos="720"/>
          <w:tab w:val="num" w:pos="990"/>
        </w:tabs>
        <w:spacing w:before="100" w:beforeAutospacing="1" w:after="100" w:afterAutospacing="1"/>
        <w:ind w:left="1530" w:firstLine="0"/>
        <w:jc w:val="both"/>
        <w:rPr>
          <w:rFonts w:eastAsia="Times New Roman" w:cstheme="minorHAnsi"/>
          <w:sz w:val="22"/>
          <w:szCs w:val="22"/>
        </w:rPr>
      </w:pPr>
      <w:r w:rsidRPr="007E4833">
        <w:rPr>
          <w:rFonts w:eastAsia="Times New Roman" w:cstheme="minorHAnsi"/>
          <w:b/>
          <w:bCs/>
          <w:sz w:val="22"/>
          <w:szCs w:val="22"/>
        </w:rPr>
        <w:t>Fewer protections</w:t>
      </w:r>
      <w:r w:rsidRPr="007E4833">
        <w:rPr>
          <w:rFonts w:eastAsia="Times New Roman" w:cstheme="minorHAnsi"/>
          <w:sz w:val="22"/>
          <w:szCs w:val="22"/>
        </w:rPr>
        <w:t>: Sometimes leveraged loans are “covenant-lite,” meaning they generally have fewer restrictions that protect the lender than traditional loans. This could leave a fund exposed to greater losses if the borrower is unable to pay back the loan.</w:t>
      </w:r>
    </w:p>
    <w:p w14:paraId="3D98845D" w14:textId="77777777" w:rsidR="004E4427" w:rsidRPr="007E4833" w:rsidRDefault="004E4427" w:rsidP="007E4833">
      <w:pPr>
        <w:numPr>
          <w:ilvl w:val="0"/>
          <w:numId w:val="13"/>
        </w:numPr>
        <w:tabs>
          <w:tab w:val="clear" w:pos="720"/>
          <w:tab w:val="num" w:pos="990"/>
        </w:tabs>
        <w:spacing w:before="100" w:beforeAutospacing="1" w:after="100" w:afterAutospacing="1"/>
        <w:ind w:left="1530" w:firstLine="0"/>
        <w:jc w:val="both"/>
        <w:rPr>
          <w:rFonts w:eastAsia="Times New Roman" w:cstheme="minorHAnsi"/>
          <w:sz w:val="22"/>
          <w:szCs w:val="22"/>
        </w:rPr>
      </w:pPr>
      <w:r w:rsidRPr="007E4833">
        <w:rPr>
          <w:rFonts w:eastAsia="Times New Roman" w:cstheme="minorHAnsi"/>
          <w:b/>
          <w:bCs/>
          <w:sz w:val="22"/>
          <w:szCs w:val="22"/>
        </w:rPr>
        <w:t>LIBOR</w:t>
      </w:r>
      <w:r w:rsidRPr="007E4833">
        <w:rPr>
          <w:rFonts w:eastAsia="Times New Roman" w:cstheme="minorHAnsi"/>
          <w:sz w:val="22"/>
          <w:szCs w:val="22"/>
        </w:rPr>
        <w:t>: Many leveraged loans pay interest tied to a reference rate known as LIBOR.  LIBOR is expected to be discontinued after 2021. For loans that will continue past 2021, it is unclear what interest rates may be paid. This uncertainty may impact the value and liquidity of these loans.</w:t>
      </w:r>
    </w:p>
    <w:p w14:paraId="1F1AB28A" w14:textId="77777777" w:rsidR="004E4427" w:rsidRPr="007E4833" w:rsidRDefault="004E4427" w:rsidP="007E4833">
      <w:pPr>
        <w:pStyle w:val="ListParagraph"/>
        <w:numPr>
          <w:ilvl w:val="0"/>
          <w:numId w:val="19"/>
        </w:numPr>
        <w:contextualSpacing w:val="0"/>
        <w:jc w:val="both"/>
        <w:rPr>
          <w:rFonts w:eastAsiaTheme="minorEastAsia" w:cstheme="minorHAnsi"/>
          <w:b/>
          <w:bCs/>
          <w:sz w:val="22"/>
          <w:szCs w:val="22"/>
        </w:rPr>
      </w:pPr>
      <w:r w:rsidRPr="007E4833">
        <w:rPr>
          <w:rFonts w:cstheme="minorHAnsi"/>
          <w:b/>
          <w:bCs/>
          <w:sz w:val="22"/>
          <w:szCs w:val="22"/>
        </w:rPr>
        <w:t>Index Funds</w:t>
      </w:r>
    </w:p>
    <w:p w14:paraId="5E4007EF" w14:textId="77777777" w:rsidR="004E4427" w:rsidRPr="007E4833" w:rsidRDefault="00D40186" w:rsidP="007E4833">
      <w:pPr>
        <w:pStyle w:val="ListParagraph"/>
        <w:ind w:left="1530"/>
        <w:jc w:val="both"/>
        <w:rPr>
          <w:rFonts w:cstheme="minorHAnsi"/>
          <w:sz w:val="22"/>
          <w:szCs w:val="22"/>
        </w:rPr>
      </w:pPr>
      <w:hyperlink r:id="rId29" w:history="1">
        <w:r w:rsidR="004E4427" w:rsidRPr="007E4833">
          <w:rPr>
            <w:rStyle w:val="Hyperlink"/>
            <w:rFonts w:cstheme="minorHAnsi"/>
            <w:sz w:val="22"/>
            <w:szCs w:val="22"/>
          </w:rPr>
          <w:t>https://www.investor.gov/introduction-investing/investing-basics/investment-products/mutual-funds-and-exchange-traded-4</w:t>
        </w:r>
      </w:hyperlink>
    </w:p>
    <w:p w14:paraId="597D57AE" w14:textId="77777777" w:rsidR="004E4427" w:rsidRPr="007E4833" w:rsidRDefault="004E4427" w:rsidP="007E4833">
      <w:pPr>
        <w:spacing w:before="100" w:beforeAutospacing="1" w:after="100" w:afterAutospacing="1"/>
        <w:ind w:left="1530"/>
        <w:jc w:val="both"/>
        <w:rPr>
          <w:rFonts w:eastAsia="Times New Roman" w:cstheme="minorHAnsi"/>
          <w:sz w:val="22"/>
          <w:szCs w:val="22"/>
        </w:rPr>
      </w:pPr>
      <w:r w:rsidRPr="007E4833">
        <w:rPr>
          <w:rFonts w:eastAsia="Times New Roman" w:cstheme="minorHAnsi"/>
          <w:sz w:val="22"/>
          <w:szCs w:val="22"/>
        </w:rPr>
        <w:t>Like any investment, index funds involve risk. An index fund will be subject to the same general risks as the securities in the index it tracks. The fund may also be subject to certain other risks, such as:</w:t>
      </w:r>
    </w:p>
    <w:p w14:paraId="389991B7" w14:textId="77777777" w:rsidR="004E4427" w:rsidRPr="007E4833" w:rsidRDefault="004E4427" w:rsidP="007E4833">
      <w:pPr>
        <w:numPr>
          <w:ilvl w:val="0"/>
          <w:numId w:val="14"/>
        </w:numPr>
        <w:tabs>
          <w:tab w:val="clear" w:pos="720"/>
          <w:tab w:val="left" w:pos="990"/>
          <w:tab w:val="num" w:pos="1440"/>
        </w:tabs>
        <w:spacing w:before="100" w:beforeAutospacing="1" w:after="100" w:afterAutospacing="1"/>
        <w:ind w:left="1530" w:firstLine="0"/>
        <w:jc w:val="both"/>
        <w:rPr>
          <w:rFonts w:eastAsia="Times New Roman" w:cstheme="minorHAnsi"/>
          <w:sz w:val="22"/>
          <w:szCs w:val="22"/>
        </w:rPr>
      </w:pPr>
      <w:r w:rsidRPr="007E4833">
        <w:rPr>
          <w:rFonts w:eastAsia="Times New Roman" w:cstheme="minorHAnsi"/>
          <w:b/>
          <w:bCs/>
          <w:i/>
          <w:iCs/>
          <w:sz w:val="22"/>
          <w:szCs w:val="22"/>
        </w:rPr>
        <w:t>Lack of Flexibility.</w:t>
      </w:r>
      <w:r w:rsidRPr="007E4833">
        <w:rPr>
          <w:rFonts w:eastAsia="Times New Roman" w:cstheme="minorHAnsi"/>
          <w:sz w:val="22"/>
          <w:szCs w:val="22"/>
        </w:rPr>
        <w:t xml:space="preserve"> An index fund may have less flexibility than a non-index fund to react to price declines in the securities in the index.</w:t>
      </w:r>
    </w:p>
    <w:p w14:paraId="7677FBB5" w14:textId="77777777" w:rsidR="004E4427" w:rsidRPr="007E4833" w:rsidRDefault="004E4427" w:rsidP="007E4833">
      <w:pPr>
        <w:numPr>
          <w:ilvl w:val="0"/>
          <w:numId w:val="14"/>
        </w:numPr>
        <w:tabs>
          <w:tab w:val="clear" w:pos="720"/>
          <w:tab w:val="left" w:pos="990"/>
          <w:tab w:val="left" w:pos="2070"/>
          <w:tab w:val="num" w:pos="2160"/>
        </w:tabs>
        <w:spacing w:before="100" w:beforeAutospacing="1" w:after="100" w:afterAutospacing="1"/>
        <w:ind w:left="1530" w:firstLine="0"/>
        <w:jc w:val="both"/>
        <w:rPr>
          <w:rFonts w:eastAsia="Times New Roman" w:cstheme="minorHAnsi"/>
          <w:sz w:val="22"/>
          <w:szCs w:val="22"/>
        </w:rPr>
      </w:pPr>
      <w:r w:rsidRPr="007E4833">
        <w:rPr>
          <w:rFonts w:eastAsia="Times New Roman" w:cstheme="minorHAnsi"/>
          <w:b/>
          <w:bCs/>
          <w:i/>
          <w:iCs/>
          <w:sz w:val="22"/>
          <w:szCs w:val="22"/>
        </w:rPr>
        <w:t xml:space="preserve">Tracking Error. </w:t>
      </w:r>
      <w:r w:rsidRPr="007E4833">
        <w:rPr>
          <w:rFonts w:eastAsia="Times New Roman" w:cstheme="minorHAnsi"/>
          <w:sz w:val="22"/>
          <w:szCs w:val="22"/>
        </w:rPr>
        <w:t>An index fund may not perfectly track its index. For example, a fund may only invest in a sampling of the securities in the market index, in which case the fund’s performance may be less likely to match the index.</w:t>
      </w:r>
    </w:p>
    <w:p w14:paraId="740053F9" w14:textId="77777777" w:rsidR="004E4427" w:rsidRPr="007E4833" w:rsidRDefault="004E4427" w:rsidP="007E4833">
      <w:pPr>
        <w:numPr>
          <w:ilvl w:val="0"/>
          <w:numId w:val="14"/>
        </w:numPr>
        <w:tabs>
          <w:tab w:val="clear" w:pos="720"/>
          <w:tab w:val="num" w:pos="1080"/>
        </w:tabs>
        <w:spacing w:before="100" w:beforeAutospacing="1" w:after="100" w:afterAutospacing="1"/>
        <w:ind w:left="1440" w:firstLine="90"/>
        <w:jc w:val="both"/>
        <w:rPr>
          <w:rFonts w:eastAsia="Times New Roman" w:cstheme="minorHAnsi"/>
          <w:sz w:val="22"/>
          <w:szCs w:val="22"/>
        </w:rPr>
      </w:pPr>
      <w:r w:rsidRPr="007E4833">
        <w:rPr>
          <w:rFonts w:eastAsia="Times New Roman" w:cstheme="minorHAnsi"/>
          <w:b/>
          <w:bCs/>
          <w:i/>
          <w:iCs/>
          <w:sz w:val="22"/>
          <w:szCs w:val="22"/>
        </w:rPr>
        <w:t>Underperformance.</w:t>
      </w:r>
      <w:r w:rsidRPr="007E4833">
        <w:rPr>
          <w:rFonts w:eastAsia="Times New Roman" w:cstheme="minorHAnsi"/>
          <w:sz w:val="22"/>
          <w:szCs w:val="22"/>
        </w:rPr>
        <w:t xml:space="preserve"> An index fund may underperform its index because of fees and expenses, trading costs, and tracking error.</w:t>
      </w:r>
    </w:p>
    <w:p w14:paraId="4BA27629" w14:textId="77777777" w:rsidR="004E4427" w:rsidRPr="007E4833" w:rsidRDefault="004E4427" w:rsidP="007E4833">
      <w:pPr>
        <w:pStyle w:val="ListParagraph"/>
        <w:numPr>
          <w:ilvl w:val="0"/>
          <w:numId w:val="19"/>
        </w:numPr>
        <w:contextualSpacing w:val="0"/>
        <w:jc w:val="both"/>
        <w:rPr>
          <w:rFonts w:eastAsiaTheme="minorEastAsia" w:cstheme="minorHAnsi"/>
          <w:b/>
          <w:bCs/>
          <w:sz w:val="22"/>
          <w:szCs w:val="22"/>
        </w:rPr>
      </w:pPr>
      <w:r w:rsidRPr="007E4833">
        <w:rPr>
          <w:rFonts w:cstheme="minorHAnsi"/>
          <w:b/>
          <w:bCs/>
          <w:sz w:val="22"/>
          <w:szCs w:val="22"/>
        </w:rPr>
        <w:lastRenderedPageBreak/>
        <w:t>Smart Beta, Quant Funds and other Non-Traditional Index Funds</w:t>
      </w:r>
    </w:p>
    <w:p w14:paraId="329BE2BB" w14:textId="77777777" w:rsidR="004E4427" w:rsidRPr="007E4833" w:rsidRDefault="00D40186" w:rsidP="007E4833">
      <w:pPr>
        <w:pStyle w:val="ListParagraph"/>
        <w:ind w:left="1530"/>
        <w:jc w:val="both"/>
        <w:rPr>
          <w:rFonts w:cstheme="minorHAnsi"/>
          <w:sz w:val="22"/>
          <w:szCs w:val="22"/>
        </w:rPr>
      </w:pPr>
      <w:hyperlink r:id="rId30" w:history="1">
        <w:r w:rsidR="004E4427" w:rsidRPr="007E4833">
          <w:rPr>
            <w:rStyle w:val="Hyperlink"/>
            <w:rFonts w:cstheme="minorHAnsi"/>
            <w:sz w:val="22"/>
            <w:szCs w:val="22"/>
          </w:rPr>
          <w:t>https://www.investor.gov/introduction-investing/investing-basics/investment-products/mutual-funds-and-exchange-traded-3</w:t>
        </w:r>
      </w:hyperlink>
    </w:p>
    <w:p w14:paraId="2155DFA0" w14:textId="77777777" w:rsidR="004E4427" w:rsidRPr="007E4833" w:rsidRDefault="004E4427" w:rsidP="007E4833">
      <w:pPr>
        <w:spacing w:before="100" w:beforeAutospacing="1" w:after="100" w:afterAutospacing="1"/>
        <w:ind w:left="1530"/>
        <w:jc w:val="both"/>
        <w:rPr>
          <w:rFonts w:eastAsia="Times New Roman" w:cstheme="minorHAnsi"/>
          <w:sz w:val="22"/>
          <w:szCs w:val="22"/>
        </w:rPr>
      </w:pPr>
      <w:r w:rsidRPr="007E4833">
        <w:rPr>
          <w:rFonts w:eastAsia="Times New Roman" w:cstheme="minorHAnsi"/>
          <w:sz w:val="22"/>
          <w:szCs w:val="22"/>
        </w:rPr>
        <w:t>Non-traditional index funds have unique characteristics and risks. In some cases, they may be complex and difficult to understand. Take time to make sure a fund is a good fit for you by considering such things as: </w:t>
      </w:r>
    </w:p>
    <w:p w14:paraId="7670BFBC" w14:textId="77777777" w:rsidR="004E4427" w:rsidRPr="007E4833" w:rsidRDefault="004E4427" w:rsidP="007E4833">
      <w:pPr>
        <w:numPr>
          <w:ilvl w:val="0"/>
          <w:numId w:val="15"/>
        </w:numPr>
        <w:tabs>
          <w:tab w:val="clear" w:pos="720"/>
          <w:tab w:val="num" w:pos="900"/>
        </w:tabs>
        <w:spacing w:before="100" w:beforeAutospacing="1" w:after="100" w:afterAutospacing="1"/>
        <w:ind w:left="1710" w:hanging="180"/>
        <w:jc w:val="both"/>
        <w:rPr>
          <w:rFonts w:eastAsia="Times New Roman" w:cstheme="minorHAnsi"/>
          <w:sz w:val="22"/>
          <w:szCs w:val="22"/>
        </w:rPr>
      </w:pPr>
      <w:r w:rsidRPr="007E4833">
        <w:rPr>
          <w:rFonts w:eastAsia="Times New Roman" w:cstheme="minorHAnsi"/>
          <w:b/>
          <w:bCs/>
          <w:sz w:val="22"/>
          <w:szCs w:val="22"/>
        </w:rPr>
        <w:t>Correlation to market.</w:t>
      </w:r>
      <w:r w:rsidRPr="007E4833">
        <w:rPr>
          <w:rFonts w:eastAsia="Times New Roman" w:cstheme="minorHAnsi"/>
          <w:sz w:val="22"/>
          <w:szCs w:val="22"/>
        </w:rPr>
        <w:t xml:space="preserve"> These funds may behave very differently than the market and traditional index funds. Because non-traditional index funds may be less correlated to the market, you may want to consider investing in them together with other types of funds. Depending on their characteristics, the other funds may help smooth out volatility and decrease risk. </w:t>
      </w:r>
    </w:p>
    <w:p w14:paraId="5E787B7E" w14:textId="77777777" w:rsidR="004E4427" w:rsidRPr="007E4833" w:rsidRDefault="004E4427" w:rsidP="007E4833">
      <w:pPr>
        <w:numPr>
          <w:ilvl w:val="0"/>
          <w:numId w:val="15"/>
        </w:numPr>
        <w:tabs>
          <w:tab w:val="clear" w:pos="720"/>
          <w:tab w:val="num" w:pos="900"/>
        </w:tabs>
        <w:spacing w:before="100" w:beforeAutospacing="1" w:after="100" w:afterAutospacing="1"/>
        <w:ind w:left="1710" w:hanging="180"/>
        <w:jc w:val="both"/>
        <w:rPr>
          <w:rFonts w:eastAsia="Times New Roman" w:cstheme="minorHAnsi"/>
          <w:sz w:val="22"/>
          <w:szCs w:val="22"/>
        </w:rPr>
      </w:pPr>
      <w:r w:rsidRPr="007E4833">
        <w:rPr>
          <w:rFonts w:eastAsia="Times New Roman" w:cstheme="minorHAnsi"/>
          <w:b/>
          <w:bCs/>
          <w:sz w:val="22"/>
          <w:szCs w:val="22"/>
        </w:rPr>
        <w:t>Returns.</w:t>
      </w:r>
      <w:r w:rsidRPr="007E4833">
        <w:rPr>
          <w:rFonts w:eastAsia="Times New Roman" w:cstheme="minorHAnsi"/>
          <w:sz w:val="22"/>
          <w:szCs w:val="22"/>
        </w:rPr>
        <w:t xml:space="preserve"> These funds may have some features of active management, including seeking to outperform the market. But, these funds will not necessarily outperform the market or even perform comparably to the market. In addition, these funds may have limited performance histories. It may not be clear how they will perform under different market conditions.</w:t>
      </w:r>
    </w:p>
    <w:p w14:paraId="4F2675B4" w14:textId="77777777" w:rsidR="004E4427" w:rsidRPr="007E4833" w:rsidRDefault="004E4427" w:rsidP="007E4833">
      <w:pPr>
        <w:numPr>
          <w:ilvl w:val="0"/>
          <w:numId w:val="15"/>
        </w:numPr>
        <w:tabs>
          <w:tab w:val="clear" w:pos="720"/>
          <w:tab w:val="num" w:pos="900"/>
        </w:tabs>
        <w:spacing w:before="100" w:beforeAutospacing="1" w:after="100" w:afterAutospacing="1"/>
        <w:ind w:left="1710" w:hanging="180"/>
        <w:jc w:val="both"/>
        <w:rPr>
          <w:rFonts w:eastAsia="Times New Roman" w:cstheme="minorHAnsi"/>
          <w:sz w:val="22"/>
          <w:szCs w:val="22"/>
        </w:rPr>
      </w:pPr>
      <w:r w:rsidRPr="007E4833">
        <w:rPr>
          <w:rFonts w:eastAsia="Times New Roman" w:cstheme="minorHAnsi"/>
          <w:b/>
          <w:bCs/>
          <w:sz w:val="22"/>
          <w:szCs w:val="22"/>
        </w:rPr>
        <w:t xml:space="preserve">Diversification. </w:t>
      </w:r>
      <w:r w:rsidRPr="007E4833">
        <w:rPr>
          <w:rFonts w:eastAsia="Times New Roman" w:cstheme="minorHAnsi"/>
          <w:sz w:val="22"/>
          <w:szCs w:val="22"/>
        </w:rPr>
        <w:t xml:space="preserve">These funds can be used to help create a </w:t>
      </w:r>
      <w:hyperlink r:id="rId31" w:history="1">
        <w:r w:rsidRPr="007E4833">
          <w:rPr>
            <w:rStyle w:val="Hyperlink"/>
            <w:rFonts w:eastAsia="Times New Roman" w:cstheme="minorHAnsi"/>
            <w:sz w:val="22"/>
            <w:szCs w:val="22"/>
          </w:rPr>
          <w:t>diversified</w:t>
        </w:r>
      </w:hyperlink>
      <w:r w:rsidRPr="007E4833">
        <w:rPr>
          <w:rFonts w:eastAsia="Times New Roman" w:cstheme="minorHAnsi"/>
          <w:sz w:val="22"/>
          <w:szCs w:val="22"/>
        </w:rPr>
        <w:t xml:space="preserve"> portfolio. But, to ensure a fund adds diversity to your portfolio, you should understand how the index was constructed. In addition, look through the index to the actual holdings of the fund. Different indexes may include the same securities. Or, indexes could give more weight to certain securities than you might expect. Make sure your investments are as diversified as you think they are.</w:t>
      </w:r>
    </w:p>
    <w:p w14:paraId="117E4792" w14:textId="77777777" w:rsidR="004E4427" w:rsidRPr="007E4833" w:rsidRDefault="004E4427" w:rsidP="007E4833">
      <w:pPr>
        <w:numPr>
          <w:ilvl w:val="0"/>
          <w:numId w:val="15"/>
        </w:numPr>
        <w:tabs>
          <w:tab w:val="clear" w:pos="720"/>
          <w:tab w:val="num" w:pos="900"/>
        </w:tabs>
        <w:spacing w:before="100" w:beforeAutospacing="1" w:after="100" w:afterAutospacing="1"/>
        <w:ind w:left="1710" w:hanging="180"/>
        <w:jc w:val="both"/>
        <w:rPr>
          <w:rFonts w:eastAsia="Times New Roman" w:cstheme="minorHAnsi"/>
          <w:sz w:val="22"/>
          <w:szCs w:val="22"/>
        </w:rPr>
      </w:pPr>
      <w:r w:rsidRPr="007E4833">
        <w:rPr>
          <w:rFonts w:eastAsia="Times New Roman" w:cstheme="minorHAnsi"/>
          <w:b/>
          <w:bCs/>
          <w:sz w:val="22"/>
          <w:szCs w:val="22"/>
        </w:rPr>
        <w:t>Complexity.</w:t>
      </w:r>
      <w:r w:rsidRPr="007E4833">
        <w:rPr>
          <w:rFonts w:eastAsia="Times New Roman" w:cstheme="minorHAnsi"/>
          <w:sz w:val="22"/>
          <w:szCs w:val="22"/>
        </w:rPr>
        <w:t xml:space="preserve"> These products may be difficult to understand because their methods for attempting to achieve returns may not be straightforward. For example, an index based on quantitative analysis or algorithms may involve complicated mathematical calculations and economic concepts.</w:t>
      </w:r>
    </w:p>
    <w:p w14:paraId="348C62F6" w14:textId="77777777" w:rsidR="004E4427" w:rsidRPr="007E4833" w:rsidRDefault="004E4427" w:rsidP="007E4833">
      <w:pPr>
        <w:numPr>
          <w:ilvl w:val="0"/>
          <w:numId w:val="15"/>
        </w:numPr>
        <w:tabs>
          <w:tab w:val="clear" w:pos="720"/>
          <w:tab w:val="num" w:pos="900"/>
        </w:tabs>
        <w:spacing w:before="100" w:beforeAutospacing="1" w:after="100" w:afterAutospacing="1"/>
        <w:ind w:left="1710" w:hanging="180"/>
        <w:jc w:val="both"/>
        <w:rPr>
          <w:rFonts w:eastAsia="Times New Roman" w:cstheme="minorHAnsi"/>
          <w:sz w:val="22"/>
          <w:szCs w:val="22"/>
        </w:rPr>
      </w:pPr>
      <w:r w:rsidRPr="007E4833">
        <w:rPr>
          <w:rFonts w:eastAsia="Times New Roman" w:cstheme="minorHAnsi"/>
          <w:b/>
          <w:bCs/>
          <w:sz w:val="22"/>
          <w:szCs w:val="22"/>
        </w:rPr>
        <w:t>Cost.</w:t>
      </w:r>
      <w:r w:rsidRPr="007E4833">
        <w:rPr>
          <w:rFonts w:eastAsia="Times New Roman" w:cstheme="minorHAnsi"/>
          <w:sz w:val="22"/>
          <w:szCs w:val="22"/>
        </w:rPr>
        <w:t xml:space="preserve"> These funds may be less expensive than actively managed funds because managers are not actively picking securities, so they do not need the services of research analysts and others that help pick securities. But, these funds typically have higher expenses than traditional index funds. </w:t>
      </w:r>
      <w:r w:rsidRPr="007E4833">
        <w:rPr>
          <w:rFonts w:eastAsia="Times New Roman" w:cstheme="minorHAnsi"/>
          <w:b/>
          <w:bCs/>
          <w:i/>
          <w:iCs/>
          <w:sz w:val="22"/>
          <w:szCs w:val="22"/>
        </w:rPr>
        <w:t>Always be sure you understand the actual cost of any fund before investing.</w:t>
      </w:r>
    </w:p>
    <w:p w14:paraId="08E27497" w14:textId="387E8C43" w:rsidR="007E0680" w:rsidRPr="007E4833" w:rsidRDefault="007E0680" w:rsidP="007E4833">
      <w:pPr>
        <w:pStyle w:val="Heading2"/>
        <w:ind w:firstLine="720"/>
        <w:jc w:val="both"/>
        <w:rPr>
          <w:rFonts w:asciiTheme="minorHAnsi" w:hAnsiTheme="minorHAnsi" w:cstheme="minorHAnsi"/>
        </w:rPr>
      </w:pPr>
      <w:bookmarkStart w:id="12" w:name="_Toc453503815"/>
      <w:r w:rsidRPr="007E4833">
        <w:rPr>
          <w:rFonts w:asciiTheme="minorHAnsi" w:hAnsiTheme="minorHAnsi" w:cstheme="minorHAnsi"/>
        </w:rPr>
        <w:t>Money Market Funds</w:t>
      </w:r>
      <w:bookmarkEnd w:id="12"/>
    </w:p>
    <w:p w14:paraId="090CA282" w14:textId="77777777" w:rsidR="004E4427" w:rsidRPr="007E4833" w:rsidRDefault="004E4427" w:rsidP="007E4833">
      <w:pPr>
        <w:ind w:left="720"/>
        <w:jc w:val="both"/>
        <w:rPr>
          <w:rFonts w:cstheme="minorHAnsi"/>
          <w:bCs/>
          <w:sz w:val="22"/>
          <w:szCs w:val="22"/>
        </w:rPr>
      </w:pPr>
    </w:p>
    <w:p w14:paraId="44C31870" w14:textId="77777777" w:rsidR="004E4427" w:rsidRPr="007E4833" w:rsidRDefault="004E4427" w:rsidP="007E4833">
      <w:pPr>
        <w:ind w:left="720"/>
        <w:jc w:val="both"/>
        <w:rPr>
          <w:rFonts w:cstheme="minorHAnsi"/>
          <w:bCs/>
          <w:sz w:val="22"/>
          <w:szCs w:val="22"/>
        </w:rPr>
      </w:pPr>
      <w:r w:rsidRPr="007E4833">
        <w:rPr>
          <w:rFonts w:cstheme="minorHAnsi"/>
          <w:bCs/>
          <w:sz w:val="22"/>
          <w:szCs w:val="22"/>
        </w:rPr>
        <w:t>Money market mutual funds typically pay interest at about the same rate and many offer check-writing privileges. One advantage is that there's usually no limit on the number of checks you can write each month. However, any check you write against the account may have to be for at least the required minimum, such as $500. One drawback is that money market funds, unlike money market accounts, are not FDIC insured, although some offer their own insurance. While fund companies try to keep their money market share price stable at $1 a share, there is the possibility you could lose some of your principal.</w:t>
      </w:r>
    </w:p>
    <w:p w14:paraId="0B8D57E8" w14:textId="77777777" w:rsidR="004E4427" w:rsidRPr="007E4833" w:rsidRDefault="004E4427" w:rsidP="007E4833">
      <w:pPr>
        <w:jc w:val="both"/>
        <w:rPr>
          <w:rFonts w:cstheme="minorHAnsi"/>
          <w:bCs/>
          <w:sz w:val="22"/>
          <w:szCs w:val="22"/>
        </w:rPr>
      </w:pPr>
    </w:p>
    <w:p w14:paraId="4872233E" w14:textId="77777777" w:rsidR="004E4427" w:rsidRPr="007E4833" w:rsidRDefault="004E4427" w:rsidP="007E4833">
      <w:pPr>
        <w:ind w:left="720"/>
        <w:jc w:val="both"/>
        <w:rPr>
          <w:rFonts w:cstheme="minorHAnsi"/>
          <w:bCs/>
          <w:sz w:val="22"/>
          <w:szCs w:val="22"/>
        </w:rPr>
      </w:pPr>
      <w:r w:rsidRPr="007E4833">
        <w:rPr>
          <w:rFonts w:cstheme="minorHAnsi"/>
          <w:bCs/>
          <w:sz w:val="22"/>
          <w:szCs w:val="22"/>
        </w:rPr>
        <w:t>Please review descriptions of the types of risks of investing in Money Market Funds below:</w:t>
      </w:r>
    </w:p>
    <w:p w14:paraId="428A15FF" w14:textId="77777777" w:rsidR="004E4427" w:rsidRPr="007E4833" w:rsidRDefault="004E4427" w:rsidP="007E4833">
      <w:pPr>
        <w:pStyle w:val="ListParagraph"/>
        <w:numPr>
          <w:ilvl w:val="0"/>
          <w:numId w:val="16"/>
        </w:numPr>
        <w:spacing w:before="100" w:beforeAutospacing="1" w:after="100" w:afterAutospacing="1"/>
        <w:ind w:left="1890"/>
        <w:contextualSpacing w:val="0"/>
        <w:jc w:val="both"/>
        <w:outlineLvl w:val="2"/>
        <w:rPr>
          <w:rFonts w:eastAsia="Times New Roman" w:cstheme="minorHAnsi"/>
          <w:b/>
          <w:bCs/>
          <w:i/>
          <w:iCs/>
          <w:sz w:val="22"/>
          <w:szCs w:val="22"/>
        </w:rPr>
      </w:pPr>
      <w:r w:rsidRPr="007E4833">
        <w:rPr>
          <w:rFonts w:eastAsia="Times New Roman" w:cstheme="minorHAnsi"/>
          <w:b/>
          <w:bCs/>
          <w:i/>
          <w:iCs/>
          <w:sz w:val="22"/>
          <w:szCs w:val="22"/>
        </w:rPr>
        <w:t xml:space="preserve">Money Market Funds are Technically a Security, and You Can Lose Money </w:t>
      </w:r>
    </w:p>
    <w:p w14:paraId="467AC242" w14:textId="77777777" w:rsidR="004E4427" w:rsidRPr="007E4833" w:rsidRDefault="004E4427" w:rsidP="007E4833">
      <w:pPr>
        <w:pStyle w:val="ListParagraph"/>
        <w:spacing w:before="100" w:beforeAutospacing="1" w:after="100" w:afterAutospacing="1"/>
        <w:ind w:left="1890"/>
        <w:jc w:val="both"/>
        <w:outlineLvl w:val="2"/>
        <w:rPr>
          <w:rFonts w:eastAsia="Times New Roman" w:cstheme="minorHAnsi"/>
          <w:b/>
          <w:bCs/>
          <w:i/>
          <w:iCs/>
          <w:sz w:val="22"/>
          <w:szCs w:val="22"/>
        </w:rPr>
      </w:pPr>
      <w:r w:rsidRPr="007E4833">
        <w:rPr>
          <w:rFonts w:eastAsia="Times New Roman" w:cstheme="minorHAnsi"/>
          <w:sz w:val="22"/>
          <w:szCs w:val="22"/>
        </w:rPr>
        <w:lastRenderedPageBreak/>
        <w:t>The fund managers attempt to keep the share price constant at $1 per share. However, there is no guarantee that the share price will stay at $1 per share. If the share price declines, you can lose some or all of your principal.</w:t>
      </w:r>
    </w:p>
    <w:p w14:paraId="6E7B4A05" w14:textId="77777777" w:rsidR="004E4427" w:rsidRPr="007E4833" w:rsidRDefault="004E4427" w:rsidP="007E4833">
      <w:pPr>
        <w:pStyle w:val="ListParagraph"/>
        <w:numPr>
          <w:ilvl w:val="0"/>
          <w:numId w:val="16"/>
        </w:numPr>
        <w:spacing w:before="100" w:beforeAutospacing="1" w:after="100" w:afterAutospacing="1"/>
        <w:ind w:left="1890"/>
        <w:contextualSpacing w:val="0"/>
        <w:jc w:val="both"/>
        <w:outlineLvl w:val="2"/>
        <w:rPr>
          <w:rFonts w:eastAsia="Times New Roman" w:cstheme="minorHAnsi"/>
          <w:b/>
          <w:bCs/>
          <w:i/>
          <w:iCs/>
          <w:sz w:val="22"/>
          <w:szCs w:val="22"/>
        </w:rPr>
      </w:pPr>
      <w:r w:rsidRPr="007E4833">
        <w:rPr>
          <w:rFonts w:eastAsia="Times New Roman" w:cstheme="minorHAnsi"/>
          <w:b/>
          <w:bCs/>
          <w:i/>
          <w:iCs/>
          <w:sz w:val="22"/>
          <w:szCs w:val="22"/>
        </w:rPr>
        <w:t xml:space="preserve">Money Market Funds are not FDIC Insured </w:t>
      </w:r>
    </w:p>
    <w:p w14:paraId="0AD39F2D" w14:textId="77777777" w:rsidR="004E4427" w:rsidRPr="007E4833" w:rsidRDefault="004E4427" w:rsidP="007E4833">
      <w:pPr>
        <w:pStyle w:val="ListParagraph"/>
        <w:spacing w:before="100" w:beforeAutospacing="1" w:after="100" w:afterAutospacing="1"/>
        <w:ind w:left="1890"/>
        <w:jc w:val="both"/>
        <w:outlineLvl w:val="2"/>
        <w:rPr>
          <w:rFonts w:eastAsia="Times New Roman" w:cstheme="minorHAnsi"/>
          <w:b/>
          <w:bCs/>
          <w:i/>
          <w:iCs/>
          <w:sz w:val="22"/>
          <w:szCs w:val="22"/>
        </w:rPr>
      </w:pPr>
      <w:r w:rsidRPr="007E4833">
        <w:rPr>
          <w:rFonts w:eastAsia="Times New Roman" w:cstheme="minorHAnsi"/>
          <w:sz w:val="22"/>
          <w:szCs w:val="22"/>
        </w:rPr>
        <w:t xml:space="preserve">If you keep money in a regular bank deposit account, such as savings or checking, your bank provides </w:t>
      </w:r>
      <w:hyperlink r:id="rId32" w:history="1">
        <w:r w:rsidRPr="007E4833">
          <w:rPr>
            <w:rStyle w:val="Hyperlink"/>
            <w:rFonts w:eastAsia="Times New Roman" w:cstheme="minorHAnsi"/>
            <w:sz w:val="22"/>
            <w:szCs w:val="22"/>
          </w:rPr>
          <w:t>FDIC insurance for up to $250,000</w:t>
        </w:r>
      </w:hyperlink>
      <w:r w:rsidRPr="007E4833">
        <w:rPr>
          <w:rFonts w:eastAsia="Times New Roman" w:cstheme="minorHAnsi"/>
          <w:sz w:val="22"/>
          <w:szCs w:val="22"/>
        </w:rPr>
        <w:t>. Although money market funds are relatively safe, there is still a small amount of risk that could have disastrous consequences if you can’t afford any losses. There is no government entity covering potential market losses. In return for that risk, you should (ideally) earn a better return on your cash than you’d earn in an FDIC insured savings account.</w:t>
      </w:r>
    </w:p>
    <w:p w14:paraId="738E307A" w14:textId="77777777" w:rsidR="004E4427" w:rsidRPr="007E4833" w:rsidRDefault="004E4427" w:rsidP="007E4833">
      <w:pPr>
        <w:pStyle w:val="ListParagraph"/>
        <w:numPr>
          <w:ilvl w:val="0"/>
          <w:numId w:val="16"/>
        </w:numPr>
        <w:spacing w:before="100" w:beforeAutospacing="1" w:after="100" w:afterAutospacing="1"/>
        <w:ind w:left="1890"/>
        <w:contextualSpacing w:val="0"/>
        <w:jc w:val="both"/>
        <w:outlineLvl w:val="2"/>
        <w:rPr>
          <w:rFonts w:eastAsia="Times New Roman" w:cstheme="minorHAnsi"/>
          <w:b/>
          <w:bCs/>
          <w:i/>
          <w:iCs/>
          <w:sz w:val="22"/>
          <w:szCs w:val="22"/>
        </w:rPr>
      </w:pPr>
      <w:r w:rsidRPr="007E4833">
        <w:rPr>
          <w:rFonts w:eastAsia="Times New Roman" w:cstheme="minorHAnsi"/>
          <w:b/>
          <w:bCs/>
          <w:i/>
          <w:iCs/>
          <w:sz w:val="22"/>
          <w:szCs w:val="22"/>
        </w:rPr>
        <w:t xml:space="preserve">Money Market Fund Rates are Variable </w:t>
      </w:r>
    </w:p>
    <w:p w14:paraId="30E69BD4" w14:textId="77777777" w:rsidR="004E4427" w:rsidRPr="007E4833" w:rsidRDefault="004E4427" w:rsidP="007E4833">
      <w:pPr>
        <w:pStyle w:val="ListParagraph"/>
        <w:spacing w:before="100" w:beforeAutospacing="1" w:after="100" w:afterAutospacing="1"/>
        <w:ind w:left="1890"/>
        <w:jc w:val="both"/>
        <w:outlineLvl w:val="2"/>
        <w:rPr>
          <w:rFonts w:eastAsia="Times New Roman" w:cstheme="minorHAnsi"/>
          <w:sz w:val="22"/>
          <w:szCs w:val="22"/>
        </w:rPr>
      </w:pPr>
      <w:r w:rsidRPr="007E4833">
        <w:rPr>
          <w:rFonts w:eastAsia="Times New Roman" w:cstheme="minorHAnsi"/>
          <w:sz w:val="22"/>
          <w:szCs w:val="22"/>
        </w:rPr>
        <w:t>You cannot know how much you’ll earn on your investment as the future unfolds. The rate could go up or down. If it goes up, that may be a good thing. However, if it goes down—and you earn less than you expected—you may end up needing more cash to meet your goals. This risk exists with other securities investments, but it is still worth noting if you're looking for predictable returns on your funds.</w:t>
      </w:r>
    </w:p>
    <w:p w14:paraId="19F4CFE3" w14:textId="77777777" w:rsidR="004E4427" w:rsidRPr="007E4833" w:rsidRDefault="004E4427" w:rsidP="007E4833">
      <w:pPr>
        <w:pStyle w:val="ListParagraph"/>
        <w:numPr>
          <w:ilvl w:val="0"/>
          <w:numId w:val="16"/>
        </w:numPr>
        <w:spacing w:before="100" w:beforeAutospacing="1" w:after="100" w:afterAutospacing="1"/>
        <w:ind w:left="1890"/>
        <w:contextualSpacing w:val="0"/>
        <w:jc w:val="both"/>
        <w:outlineLvl w:val="2"/>
        <w:rPr>
          <w:rFonts w:eastAsia="Times New Roman" w:cstheme="minorHAnsi"/>
          <w:b/>
          <w:bCs/>
          <w:i/>
          <w:iCs/>
          <w:sz w:val="22"/>
          <w:szCs w:val="22"/>
        </w:rPr>
      </w:pPr>
      <w:r w:rsidRPr="007E4833">
        <w:rPr>
          <w:rFonts w:eastAsia="Times New Roman" w:cstheme="minorHAnsi"/>
          <w:b/>
          <w:bCs/>
          <w:i/>
          <w:iCs/>
          <w:sz w:val="22"/>
          <w:szCs w:val="22"/>
        </w:rPr>
        <w:t xml:space="preserve">You Have Potential Opportunity Costs and Inflation Risk </w:t>
      </w:r>
    </w:p>
    <w:p w14:paraId="5FD7EFF6" w14:textId="77777777" w:rsidR="004E4427" w:rsidRPr="007E4833" w:rsidRDefault="004E4427" w:rsidP="007E4833">
      <w:pPr>
        <w:pStyle w:val="ListParagraph"/>
        <w:spacing w:before="100" w:beforeAutospacing="1" w:after="100" w:afterAutospacing="1"/>
        <w:ind w:left="1890"/>
        <w:jc w:val="both"/>
        <w:outlineLvl w:val="2"/>
        <w:rPr>
          <w:rFonts w:eastAsia="Times New Roman" w:cstheme="minorHAnsi"/>
          <w:sz w:val="22"/>
          <w:szCs w:val="22"/>
        </w:rPr>
      </w:pPr>
      <w:r w:rsidRPr="007E4833">
        <w:rPr>
          <w:rFonts w:eastAsia="Times New Roman" w:cstheme="minorHAnsi"/>
          <w:sz w:val="22"/>
          <w:szCs w:val="22"/>
        </w:rPr>
        <w:t xml:space="preserve">Because money market funds are considered to be safer than other investments like equities, </w:t>
      </w:r>
      <w:hyperlink r:id="rId33" w:history="1">
        <w:r w:rsidRPr="007E4833">
          <w:rPr>
            <w:rStyle w:val="Hyperlink"/>
            <w:rFonts w:eastAsia="Times New Roman" w:cstheme="minorHAnsi"/>
            <w:sz w:val="22"/>
            <w:szCs w:val="22"/>
          </w:rPr>
          <w:t>long-term</w:t>
        </w:r>
      </w:hyperlink>
      <w:r w:rsidRPr="007E4833">
        <w:rPr>
          <w:rFonts w:eastAsia="Times New Roman" w:cstheme="minorHAnsi"/>
          <w:sz w:val="22"/>
          <w:szCs w:val="22"/>
        </w:rPr>
        <w:t xml:space="preserve"> average returns on money market funds may be lower than long-term average returns on riskier investments. Over long periods, inflation can eat away at your returns, and you might be better served with higher-yielding investments if you have the capacity and desire to take the risk.</w:t>
      </w:r>
    </w:p>
    <w:p w14:paraId="7A1D888E" w14:textId="77777777" w:rsidR="004E4427" w:rsidRPr="007E4833" w:rsidRDefault="004E4427" w:rsidP="007E4833">
      <w:pPr>
        <w:pStyle w:val="ListParagraph"/>
        <w:numPr>
          <w:ilvl w:val="0"/>
          <w:numId w:val="16"/>
        </w:numPr>
        <w:spacing w:before="100" w:beforeAutospacing="1" w:after="100" w:afterAutospacing="1"/>
        <w:ind w:left="1980" w:hanging="450"/>
        <w:contextualSpacing w:val="0"/>
        <w:jc w:val="both"/>
        <w:outlineLvl w:val="2"/>
        <w:rPr>
          <w:rFonts w:eastAsia="Times New Roman" w:cstheme="minorHAnsi"/>
          <w:b/>
          <w:bCs/>
          <w:i/>
          <w:iCs/>
          <w:sz w:val="22"/>
          <w:szCs w:val="22"/>
        </w:rPr>
      </w:pPr>
      <w:r w:rsidRPr="007E4833">
        <w:rPr>
          <w:rFonts w:eastAsia="Times New Roman" w:cstheme="minorHAnsi"/>
          <w:b/>
          <w:bCs/>
          <w:i/>
          <w:iCs/>
          <w:sz w:val="22"/>
          <w:szCs w:val="22"/>
        </w:rPr>
        <w:t xml:space="preserve">Locked up Funds </w:t>
      </w:r>
    </w:p>
    <w:p w14:paraId="5A0CA7C5" w14:textId="67AD3B9F" w:rsidR="004E4427" w:rsidRPr="007E4833" w:rsidRDefault="004E4427" w:rsidP="007E4833">
      <w:pPr>
        <w:spacing w:before="100" w:beforeAutospacing="1" w:after="100" w:afterAutospacing="1"/>
        <w:jc w:val="both"/>
        <w:outlineLvl w:val="2"/>
        <w:rPr>
          <w:rFonts w:eastAsia="Times New Roman" w:cstheme="minorHAnsi"/>
          <w:sz w:val="22"/>
          <w:szCs w:val="22"/>
        </w:rPr>
      </w:pPr>
      <w:r w:rsidRPr="007E4833">
        <w:rPr>
          <w:rFonts w:eastAsia="Times New Roman" w:cstheme="minorHAnsi"/>
          <w:sz w:val="22"/>
          <w:szCs w:val="22"/>
        </w:rPr>
        <w:t>In some cases, money market funds can become illiquid, which helps to reduce problems during market turmoil. Funds can impose liquidity fees that require you to pay for cashing out. They may also use redemption gates that require you to wait before receiving proceeds from a money market fund.</w:t>
      </w:r>
      <w:r w:rsidR="00DD1676" w:rsidRPr="007E4833">
        <w:rPr>
          <w:rFonts w:eastAsia="Times New Roman" w:cstheme="minorHAnsi"/>
          <w:sz w:val="22"/>
          <w:szCs w:val="22"/>
        </w:rPr>
        <w:t xml:space="preserve"> Here is a resource with additional information:</w:t>
      </w:r>
    </w:p>
    <w:p w14:paraId="7BD5443C" w14:textId="77777777" w:rsidR="00DD1676" w:rsidRPr="007E4833" w:rsidRDefault="00D40186" w:rsidP="007E4833">
      <w:pPr>
        <w:pStyle w:val="ListParagraph"/>
        <w:ind w:left="1530"/>
        <w:jc w:val="both"/>
        <w:rPr>
          <w:rFonts w:cstheme="minorHAnsi"/>
          <w:b/>
          <w:bCs/>
          <w:sz w:val="22"/>
          <w:szCs w:val="22"/>
        </w:rPr>
      </w:pPr>
      <w:hyperlink r:id="rId34" w:history="1">
        <w:r w:rsidR="00DD1676" w:rsidRPr="007E4833">
          <w:rPr>
            <w:rStyle w:val="Hyperlink"/>
            <w:rFonts w:eastAsia="Times New Roman" w:cstheme="minorHAnsi"/>
            <w:sz w:val="22"/>
            <w:szCs w:val="22"/>
          </w:rPr>
          <w:t>https://www.finra.org/investors/alerts/treasurys-guarantee-program-money-market-mutual-funds-what-you-should-know</w:t>
        </w:r>
      </w:hyperlink>
    </w:p>
    <w:p w14:paraId="6FF30B18" w14:textId="6D7E2FB9" w:rsidR="007E0680" w:rsidRPr="007E4833" w:rsidRDefault="007E0680" w:rsidP="007E4833">
      <w:pPr>
        <w:pStyle w:val="Heading2"/>
        <w:jc w:val="both"/>
        <w:rPr>
          <w:rFonts w:asciiTheme="minorHAnsi" w:hAnsiTheme="minorHAnsi" w:cstheme="minorHAnsi"/>
        </w:rPr>
      </w:pPr>
      <w:bookmarkStart w:id="13" w:name="_Toc453503816"/>
      <w:r w:rsidRPr="007E4833">
        <w:rPr>
          <w:rFonts w:asciiTheme="minorHAnsi" w:hAnsiTheme="minorHAnsi" w:cstheme="minorHAnsi"/>
        </w:rPr>
        <w:t>Exchange Traded Funds (ETFs)</w:t>
      </w:r>
      <w:bookmarkEnd w:id="13"/>
    </w:p>
    <w:p w14:paraId="48701421" w14:textId="77777777" w:rsidR="004E4427" w:rsidRPr="007E4833" w:rsidRDefault="004E4427" w:rsidP="007E4833">
      <w:pPr>
        <w:pStyle w:val="BodyText"/>
        <w:jc w:val="both"/>
        <w:rPr>
          <w:rFonts w:cstheme="minorHAnsi"/>
        </w:rPr>
      </w:pPr>
      <w:r w:rsidRPr="007E4833">
        <w:rPr>
          <w:rFonts w:cstheme="minorHAnsi"/>
        </w:rPr>
        <w:t>Exchange-traded funds (ETFs) combine aspects of mutual funds and conventional stocks. Like a mutual fund, an ETF is a pooled investment fund that offers an investor an interest in a professionally managed, diversified portfolio of investments. But unlike mutual funds, ETF shares trade like stocks on stock exchanges and can be bought or sold throughout the trading day at fluctuating prices.</w:t>
      </w:r>
    </w:p>
    <w:p w14:paraId="0EC11407" w14:textId="77777777" w:rsidR="004E4427" w:rsidRPr="007E4833" w:rsidRDefault="004E4427" w:rsidP="007E4833">
      <w:pPr>
        <w:pStyle w:val="BodyText"/>
        <w:jc w:val="both"/>
        <w:rPr>
          <w:rFonts w:cstheme="minorHAnsi"/>
        </w:rPr>
      </w:pPr>
    </w:p>
    <w:p w14:paraId="202A0273" w14:textId="77777777" w:rsidR="004E4427" w:rsidRPr="007E4833" w:rsidRDefault="004E4427" w:rsidP="007E4833">
      <w:pPr>
        <w:pStyle w:val="BodyText"/>
        <w:jc w:val="both"/>
        <w:rPr>
          <w:rFonts w:cstheme="minorHAnsi"/>
        </w:rPr>
      </w:pPr>
      <w:r w:rsidRPr="007E4833">
        <w:rPr>
          <w:rFonts w:cstheme="minorHAnsi"/>
        </w:rPr>
        <w:t>Please review the types of risks inherent in investing in ETFs:</w:t>
      </w:r>
    </w:p>
    <w:p w14:paraId="06ACA835" w14:textId="77777777" w:rsidR="004E4427" w:rsidRPr="007E4833" w:rsidRDefault="004E4427" w:rsidP="007E4833">
      <w:pPr>
        <w:pStyle w:val="ListParagraph"/>
        <w:ind w:left="1080"/>
        <w:jc w:val="both"/>
        <w:rPr>
          <w:rFonts w:cstheme="minorHAnsi"/>
          <w:b/>
          <w:bCs/>
          <w:sz w:val="22"/>
          <w:szCs w:val="22"/>
          <w:u w:val="single"/>
        </w:rPr>
      </w:pPr>
    </w:p>
    <w:p w14:paraId="28BDB619" w14:textId="77777777" w:rsidR="004E4427" w:rsidRPr="007E4833" w:rsidRDefault="004E4427" w:rsidP="007E4833">
      <w:pPr>
        <w:pStyle w:val="ListParagraph"/>
        <w:numPr>
          <w:ilvl w:val="0"/>
          <w:numId w:val="16"/>
        </w:numPr>
        <w:ind w:left="1080" w:firstLine="0"/>
        <w:contextualSpacing w:val="0"/>
        <w:jc w:val="both"/>
        <w:rPr>
          <w:rFonts w:cstheme="minorHAnsi"/>
          <w:b/>
          <w:bCs/>
          <w:sz w:val="22"/>
          <w:szCs w:val="22"/>
        </w:rPr>
      </w:pPr>
      <w:r w:rsidRPr="007E4833">
        <w:rPr>
          <w:rFonts w:cstheme="minorHAnsi"/>
          <w:b/>
          <w:bCs/>
          <w:sz w:val="22"/>
          <w:szCs w:val="22"/>
        </w:rPr>
        <w:t>Market risk</w:t>
      </w:r>
    </w:p>
    <w:p w14:paraId="10FFA371" w14:textId="77777777" w:rsidR="004E4427" w:rsidRPr="007E4833" w:rsidRDefault="004E4427" w:rsidP="007E4833">
      <w:pPr>
        <w:pStyle w:val="ListParagraph"/>
        <w:ind w:left="1440"/>
        <w:jc w:val="both"/>
        <w:rPr>
          <w:rFonts w:cstheme="minorHAnsi"/>
          <w:sz w:val="22"/>
          <w:szCs w:val="22"/>
        </w:rPr>
      </w:pPr>
      <w:r w:rsidRPr="007E4833">
        <w:rPr>
          <w:rFonts w:cstheme="minorHAnsi"/>
          <w:sz w:val="22"/>
          <w:szCs w:val="22"/>
        </w:rPr>
        <w:t xml:space="preserve">ETFs cannot avoid the fates of the market they track. While ETFs provide numerous advantages that can help investors mitigate risks, nothing will stop them from going down if their underlying assets are falling. Market risks are one of the biggest costs of trading </w:t>
      </w:r>
      <w:r w:rsidRPr="007E4833">
        <w:rPr>
          <w:rFonts w:cstheme="minorHAnsi"/>
          <w:sz w:val="22"/>
          <w:szCs w:val="22"/>
        </w:rPr>
        <w:lastRenderedPageBreak/>
        <w:t>and cannot be mitigated directly. Rather, investors should allocate capital in their portfolio in a way that reduces exposure to any one asset or risk.</w:t>
      </w:r>
    </w:p>
    <w:p w14:paraId="3A2DEF08" w14:textId="77777777" w:rsidR="004E4427" w:rsidRPr="007E4833" w:rsidRDefault="004E4427" w:rsidP="007E4833">
      <w:pPr>
        <w:pStyle w:val="ListParagraph"/>
        <w:ind w:left="1440"/>
        <w:jc w:val="both"/>
        <w:rPr>
          <w:rFonts w:cstheme="minorHAnsi"/>
          <w:b/>
          <w:bCs/>
          <w:sz w:val="22"/>
          <w:szCs w:val="22"/>
        </w:rPr>
      </w:pPr>
    </w:p>
    <w:p w14:paraId="0F37DC9A" w14:textId="77777777" w:rsidR="004E4427" w:rsidRPr="007E4833" w:rsidRDefault="004E4427" w:rsidP="007E4833">
      <w:pPr>
        <w:pStyle w:val="ListParagraph"/>
        <w:numPr>
          <w:ilvl w:val="0"/>
          <w:numId w:val="16"/>
        </w:numPr>
        <w:ind w:firstLine="360"/>
        <w:contextualSpacing w:val="0"/>
        <w:jc w:val="both"/>
        <w:rPr>
          <w:rFonts w:cstheme="minorHAnsi"/>
          <w:b/>
          <w:bCs/>
          <w:sz w:val="22"/>
          <w:szCs w:val="22"/>
        </w:rPr>
      </w:pPr>
      <w:r w:rsidRPr="007E4833">
        <w:rPr>
          <w:rFonts w:cstheme="minorHAnsi"/>
          <w:b/>
          <w:bCs/>
          <w:sz w:val="22"/>
          <w:szCs w:val="22"/>
        </w:rPr>
        <w:t>Trading risk</w:t>
      </w:r>
    </w:p>
    <w:p w14:paraId="6D16B97D" w14:textId="77777777" w:rsidR="004E4427" w:rsidRPr="007E4833" w:rsidRDefault="004E4427" w:rsidP="007E4833">
      <w:pPr>
        <w:pStyle w:val="NormalWeb"/>
        <w:tabs>
          <w:tab w:val="left" w:pos="2160"/>
        </w:tabs>
        <w:ind w:left="1440"/>
        <w:jc w:val="both"/>
        <w:rPr>
          <w:rFonts w:asciiTheme="minorHAnsi" w:hAnsiTheme="minorHAnsi" w:cstheme="minorHAnsi"/>
          <w:sz w:val="22"/>
          <w:szCs w:val="22"/>
        </w:rPr>
      </w:pPr>
      <w:r w:rsidRPr="007E4833">
        <w:rPr>
          <w:rFonts w:asciiTheme="minorHAnsi" w:hAnsiTheme="minorHAnsi" w:cstheme="minorHAnsi"/>
          <w:sz w:val="22"/>
          <w:szCs w:val="22"/>
        </w:rPr>
        <w:t xml:space="preserve">Trading risk refers to the total cost of owning an </w:t>
      </w:r>
      <w:r w:rsidRPr="007E4833">
        <w:rPr>
          <w:rStyle w:val="caps"/>
          <w:rFonts w:asciiTheme="minorHAnsi" w:hAnsiTheme="minorHAnsi" w:cstheme="minorHAnsi"/>
          <w:sz w:val="22"/>
          <w:szCs w:val="22"/>
        </w:rPr>
        <w:t>ETF</w:t>
      </w:r>
      <w:r w:rsidRPr="007E4833">
        <w:rPr>
          <w:rFonts w:asciiTheme="minorHAnsi" w:hAnsiTheme="minorHAnsi" w:cstheme="minorHAnsi"/>
          <w:sz w:val="22"/>
          <w:szCs w:val="22"/>
        </w:rPr>
        <w:t xml:space="preserve"> portfolio. ETFs have been described as tax efficient, transparent and cheaper when compared to other asset classes. However, they still entail costs in the form of commissions, sales charges, market impact costs and direct trading costs, such as the bid-ask spread and management expense ratio.</w:t>
      </w:r>
    </w:p>
    <w:p w14:paraId="1BD6DD6F" w14:textId="77777777" w:rsidR="004E4427" w:rsidRPr="007E4833" w:rsidRDefault="004E4427" w:rsidP="007E4833">
      <w:pPr>
        <w:pStyle w:val="NormalWeb"/>
        <w:tabs>
          <w:tab w:val="left" w:pos="2160"/>
        </w:tabs>
        <w:ind w:left="1440"/>
        <w:jc w:val="both"/>
        <w:rPr>
          <w:rFonts w:asciiTheme="minorHAnsi" w:hAnsiTheme="minorHAnsi" w:cstheme="minorHAnsi"/>
          <w:sz w:val="22"/>
          <w:szCs w:val="22"/>
        </w:rPr>
      </w:pPr>
      <w:r w:rsidRPr="007E4833">
        <w:rPr>
          <w:rFonts w:asciiTheme="minorHAnsi" w:hAnsiTheme="minorHAnsi" w:cstheme="minorHAnsi"/>
          <w:sz w:val="22"/>
          <w:szCs w:val="22"/>
        </w:rPr>
        <w:t>ETFs may also suffer from crowded trade risks, given the sheer number of market participants involved in this market. Like other assets, ETFs also carry opportunity costs, creation and redemption fees and taxes on interest income and capital gains. These fees must be factored into overall trading costs so there aren’t any surprises down the road.</w:t>
      </w:r>
    </w:p>
    <w:p w14:paraId="1CF9A9E4" w14:textId="77777777" w:rsidR="004E4427" w:rsidRPr="007E4833" w:rsidRDefault="004E4427" w:rsidP="007E4833">
      <w:pPr>
        <w:pStyle w:val="ListParagraph"/>
        <w:numPr>
          <w:ilvl w:val="0"/>
          <w:numId w:val="16"/>
        </w:numPr>
        <w:ind w:firstLine="360"/>
        <w:contextualSpacing w:val="0"/>
        <w:jc w:val="both"/>
        <w:rPr>
          <w:rFonts w:cstheme="minorHAnsi"/>
          <w:b/>
          <w:bCs/>
          <w:sz w:val="22"/>
          <w:szCs w:val="22"/>
        </w:rPr>
      </w:pPr>
      <w:r w:rsidRPr="007E4833">
        <w:rPr>
          <w:rFonts w:cstheme="minorHAnsi"/>
          <w:b/>
          <w:bCs/>
          <w:sz w:val="22"/>
          <w:szCs w:val="22"/>
        </w:rPr>
        <w:t>Liquidity risk</w:t>
      </w:r>
    </w:p>
    <w:p w14:paraId="30F75D01" w14:textId="77777777" w:rsidR="004E4427" w:rsidRPr="007E4833" w:rsidRDefault="004E4427" w:rsidP="007E4833">
      <w:pPr>
        <w:pStyle w:val="ListParagraph"/>
        <w:ind w:left="1440"/>
        <w:jc w:val="both"/>
        <w:rPr>
          <w:rFonts w:cstheme="minorHAnsi"/>
          <w:b/>
          <w:bCs/>
          <w:sz w:val="22"/>
          <w:szCs w:val="22"/>
        </w:rPr>
      </w:pPr>
      <w:r w:rsidRPr="007E4833">
        <w:rPr>
          <w:rFonts w:cstheme="minorHAnsi"/>
          <w:sz w:val="22"/>
          <w:szCs w:val="22"/>
        </w:rPr>
        <w:t xml:space="preserve">Since ETFs are at least as liquid as their underlying assets, trading conditions are more accurately reflected in implied liquidity rather than the average daily volume of the </w:t>
      </w:r>
      <w:r w:rsidRPr="007E4833">
        <w:rPr>
          <w:rStyle w:val="caps"/>
          <w:rFonts w:cstheme="minorHAnsi"/>
          <w:sz w:val="22"/>
          <w:szCs w:val="22"/>
        </w:rPr>
        <w:t>ETF</w:t>
      </w:r>
      <w:r w:rsidRPr="007E4833">
        <w:rPr>
          <w:rFonts w:cstheme="minorHAnsi"/>
          <w:sz w:val="22"/>
          <w:szCs w:val="22"/>
        </w:rPr>
        <w:t xml:space="preserve"> itself. Implied liquidity is a measure of what can potentially be traded in ETFs based on its underlying assets.</w:t>
      </w:r>
    </w:p>
    <w:p w14:paraId="1CB7CCA7" w14:textId="77777777" w:rsidR="004E4427" w:rsidRPr="007E4833" w:rsidRDefault="004E4427" w:rsidP="007E4833">
      <w:pPr>
        <w:pStyle w:val="NormalWeb"/>
        <w:ind w:left="1440"/>
        <w:jc w:val="both"/>
        <w:rPr>
          <w:rFonts w:asciiTheme="minorHAnsi" w:hAnsiTheme="minorHAnsi" w:cstheme="minorHAnsi"/>
          <w:sz w:val="22"/>
          <w:szCs w:val="22"/>
        </w:rPr>
      </w:pPr>
      <w:r w:rsidRPr="007E4833">
        <w:rPr>
          <w:rFonts w:asciiTheme="minorHAnsi" w:hAnsiTheme="minorHAnsi" w:cstheme="minorHAnsi"/>
          <w:sz w:val="22"/>
          <w:szCs w:val="22"/>
        </w:rPr>
        <w:t xml:space="preserve">This is very different from average daily volume, which provides a historical account of how frequently the </w:t>
      </w:r>
      <w:r w:rsidRPr="007E4833">
        <w:rPr>
          <w:rStyle w:val="caps"/>
          <w:rFonts w:asciiTheme="minorHAnsi" w:hAnsiTheme="minorHAnsi" w:cstheme="minorHAnsi"/>
          <w:sz w:val="22"/>
          <w:szCs w:val="22"/>
        </w:rPr>
        <w:t>ETF</w:t>
      </w:r>
      <w:r w:rsidRPr="007E4833">
        <w:rPr>
          <w:rFonts w:asciiTheme="minorHAnsi" w:hAnsiTheme="minorHAnsi" w:cstheme="minorHAnsi"/>
          <w:sz w:val="22"/>
          <w:szCs w:val="22"/>
        </w:rPr>
        <w:t xml:space="preserve"> is traded. Investors who have in the past relied on average daily volume to gauge liquidity need to reassess their strategy for the </w:t>
      </w:r>
      <w:r w:rsidRPr="007E4833">
        <w:rPr>
          <w:rStyle w:val="caps"/>
          <w:rFonts w:asciiTheme="minorHAnsi" w:hAnsiTheme="minorHAnsi" w:cstheme="minorHAnsi"/>
          <w:sz w:val="22"/>
          <w:szCs w:val="22"/>
        </w:rPr>
        <w:t>ETF</w:t>
      </w:r>
      <w:r w:rsidRPr="007E4833">
        <w:rPr>
          <w:rFonts w:asciiTheme="minorHAnsi" w:hAnsiTheme="minorHAnsi" w:cstheme="minorHAnsi"/>
          <w:sz w:val="22"/>
          <w:szCs w:val="22"/>
        </w:rPr>
        <w:t xml:space="preserve"> market.</w:t>
      </w:r>
    </w:p>
    <w:p w14:paraId="5232DB9D" w14:textId="77777777" w:rsidR="004E4427" w:rsidRPr="007E4833" w:rsidRDefault="004E4427" w:rsidP="007E4833">
      <w:pPr>
        <w:pStyle w:val="ListParagraph"/>
        <w:numPr>
          <w:ilvl w:val="0"/>
          <w:numId w:val="16"/>
        </w:numPr>
        <w:ind w:firstLine="360"/>
        <w:contextualSpacing w:val="0"/>
        <w:jc w:val="both"/>
        <w:rPr>
          <w:rFonts w:cstheme="minorHAnsi"/>
          <w:b/>
          <w:bCs/>
          <w:sz w:val="22"/>
          <w:szCs w:val="22"/>
        </w:rPr>
      </w:pPr>
      <w:r w:rsidRPr="007E4833">
        <w:rPr>
          <w:rFonts w:cstheme="minorHAnsi"/>
          <w:b/>
          <w:bCs/>
          <w:sz w:val="22"/>
          <w:szCs w:val="22"/>
        </w:rPr>
        <w:t>Composition risk</w:t>
      </w:r>
    </w:p>
    <w:p w14:paraId="041FF1AD" w14:textId="77777777" w:rsidR="004E4427" w:rsidRPr="007E4833" w:rsidRDefault="004E4427" w:rsidP="007E4833">
      <w:pPr>
        <w:pStyle w:val="ListParagraph"/>
        <w:ind w:left="1440"/>
        <w:jc w:val="both"/>
        <w:rPr>
          <w:rFonts w:cstheme="minorHAnsi"/>
          <w:sz w:val="22"/>
          <w:szCs w:val="22"/>
        </w:rPr>
      </w:pPr>
      <w:r w:rsidRPr="007E4833">
        <w:rPr>
          <w:rFonts w:cstheme="minorHAnsi"/>
          <w:sz w:val="22"/>
          <w:szCs w:val="22"/>
        </w:rPr>
        <w:t>Composition risk refers to the fact that indices, and the ETFs that track them, aren’t interchangeable. While two ETFs may track the same index or sector, their performance may not be equal due to different holdings in the underlying basket.</w:t>
      </w:r>
    </w:p>
    <w:p w14:paraId="588732F1" w14:textId="77777777" w:rsidR="004E4427" w:rsidRPr="007E4833" w:rsidRDefault="004E4427" w:rsidP="007E4833">
      <w:pPr>
        <w:pStyle w:val="ListParagraph"/>
        <w:jc w:val="both"/>
        <w:rPr>
          <w:rFonts w:cstheme="minorHAnsi"/>
          <w:sz w:val="22"/>
          <w:szCs w:val="22"/>
        </w:rPr>
      </w:pPr>
    </w:p>
    <w:p w14:paraId="55BA3120" w14:textId="77777777" w:rsidR="004E4427" w:rsidRPr="007E4833" w:rsidRDefault="004E4427" w:rsidP="007E4833">
      <w:pPr>
        <w:pStyle w:val="ListParagraph"/>
        <w:numPr>
          <w:ilvl w:val="0"/>
          <w:numId w:val="16"/>
        </w:numPr>
        <w:ind w:firstLine="360"/>
        <w:contextualSpacing w:val="0"/>
        <w:jc w:val="both"/>
        <w:rPr>
          <w:rFonts w:cstheme="minorHAnsi"/>
          <w:b/>
          <w:bCs/>
          <w:sz w:val="22"/>
          <w:szCs w:val="22"/>
        </w:rPr>
      </w:pPr>
      <w:r w:rsidRPr="007E4833">
        <w:rPr>
          <w:rFonts w:cstheme="minorHAnsi"/>
          <w:b/>
          <w:bCs/>
          <w:sz w:val="22"/>
          <w:szCs w:val="22"/>
        </w:rPr>
        <w:t>Methodology risk</w:t>
      </w:r>
    </w:p>
    <w:p w14:paraId="62FB6FD7" w14:textId="77777777" w:rsidR="004E4427" w:rsidRPr="007E4833" w:rsidRDefault="004E4427" w:rsidP="007E4833">
      <w:pPr>
        <w:pStyle w:val="ListParagraph"/>
        <w:ind w:left="1440"/>
        <w:jc w:val="both"/>
        <w:rPr>
          <w:rFonts w:cstheme="minorHAnsi"/>
          <w:b/>
          <w:bCs/>
          <w:sz w:val="22"/>
          <w:szCs w:val="22"/>
        </w:rPr>
      </w:pPr>
      <w:r w:rsidRPr="007E4833">
        <w:rPr>
          <w:rFonts w:cstheme="minorHAnsi"/>
          <w:sz w:val="22"/>
          <w:szCs w:val="22"/>
        </w:rPr>
        <w:t>ETFs are not all created equal, even those that track the same market or sector.  Methodology risks aren’t always easy to see, which means investors need to read the fund prospectus to understand the nuances of the investment strategy, including its holdings and weightings.</w:t>
      </w:r>
    </w:p>
    <w:p w14:paraId="62FE756D" w14:textId="77777777" w:rsidR="004E4427" w:rsidRPr="007E4833" w:rsidRDefault="004E4427" w:rsidP="007E4833">
      <w:pPr>
        <w:pStyle w:val="ListParagraph"/>
        <w:ind w:left="1080"/>
        <w:jc w:val="both"/>
        <w:rPr>
          <w:rFonts w:cstheme="minorHAnsi"/>
          <w:b/>
          <w:bCs/>
          <w:sz w:val="22"/>
          <w:szCs w:val="22"/>
        </w:rPr>
      </w:pPr>
    </w:p>
    <w:p w14:paraId="56EBCD22" w14:textId="77777777" w:rsidR="004E4427" w:rsidRPr="007E4833" w:rsidRDefault="004E4427" w:rsidP="007E4833">
      <w:pPr>
        <w:pStyle w:val="ListParagraph"/>
        <w:numPr>
          <w:ilvl w:val="0"/>
          <w:numId w:val="16"/>
        </w:numPr>
        <w:ind w:left="1080" w:firstLine="0"/>
        <w:contextualSpacing w:val="0"/>
        <w:jc w:val="both"/>
        <w:rPr>
          <w:rFonts w:cstheme="minorHAnsi"/>
          <w:b/>
          <w:bCs/>
          <w:sz w:val="22"/>
          <w:szCs w:val="22"/>
        </w:rPr>
      </w:pPr>
      <w:r w:rsidRPr="007E4833">
        <w:rPr>
          <w:rFonts w:cstheme="minorHAnsi"/>
          <w:b/>
          <w:bCs/>
          <w:sz w:val="22"/>
          <w:szCs w:val="22"/>
        </w:rPr>
        <w:t>Tracking error risk</w:t>
      </w:r>
    </w:p>
    <w:p w14:paraId="2F2978D4" w14:textId="77777777" w:rsidR="004E4427" w:rsidRPr="007E4833" w:rsidRDefault="004E4427" w:rsidP="007E4833">
      <w:pPr>
        <w:pStyle w:val="ListParagraph"/>
        <w:ind w:left="1440"/>
        <w:jc w:val="both"/>
        <w:rPr>
          <w:rFonts w:cstheme="minorHAnsi"/>
          <w:sz w:val="22"/>
          <w:szCs w:val="22"/>
        </w:rPr>
      </w:pPr>
      <w:r w:rsidRPr="007E4833">
        <w:rPr>
          <w:rFonts w:cstheme="minorHAnsi"/>
          <w:sz w:val="22"/>
          <w:szCs w:val="22"/>
        </w:rPr>
        <w:t>Tracking risk occurs when an ETF does not mimic or follow the index it is tracking due to a combination of management fees, tax treatment and dividend timing. ETFs that use physical replication exhibit larger tracking errors compared to ETFs that use synthetic replication. Investors need to be aware of this difference when selecting ETFs with physical replication. A synthetic ETF is designed to replicate the return of a selected index via financial engineering.</w:t>
      </w:r>
    </w:p>
    <w:p w14:paraId="650D30EF" w14:textId="77777777" w:rsidR="004E4427" w:rsidRPr="007E4833" w:rsidRDefault="004E4427" w:rsidP="007E4833">
      <w:pPr>
        <w:pStyle w:val="ListParagraph"/>
        <w:ind w:left="1080"/>
        <w:jc w:val="both"/>
        <w:rPr>
          <w:rFonts w:cstheme="minorHAnsi"/>
          <w:b/>
          <w:bCs/>
          <w:sz w:val="22"/>
          <w:szCs w:val="22"/>
        </w:rPr>
      </w:pPr>
    </w:p>
    <w:p w14:paraId="461B2B72" w14:textId="77777777" w:rsidR="004E4427" w:rsidRPr="007E4833" w:rsidRDefault="004E4427" w:rsidP="007E4833">
      <w:pPr>
        <w:pStyle w:val="ListParagraph"/>
        <w:numPr>
          <w:ilvl w:val="0"/>
          <w:numId w:val="16"/>
        </w:numPr>
        <w:ind w:left="1080" w:firstLine="0"/>
        <w:contextualSpacing w:val="0"/>
        <w:jc w:val="both"/>
        <w:rPr>
          <w:rFonts w:cstheme="minorHAnsi"/>
          <w:b/>
          <w:bCs/>
          <w:sz w:val="22"/>
          <w:szCs w:val="22"/>
        </w:rPr>
      </w:pPr>
      <w:r w:rsidRPr="007E4833">
        <w:rPr>
          <w:rFonts w:cstheme="minorHAnsi"/>
          <w:b/>
          <w:bCs/>
          <w:sz w:val="22"/>
          <w:szCs w:val="22"/>
        </w:rPr>
        <w:t>Counterparty risk</w:t>
      </w:r>
    </w:p>
    <w:p w14:paraId="1B5EA077" w14:textId="77777777" w:rsidR="004E4427" w:rsidRPr="007E4833" w:rsidRDefault="004E4427" w:rsidP="007E4833">
      <w:pPr>
        <w:pStyle w:val="ListParagraph"/>
        <w:ind w:left="1440"/>
        <w:jc w:val="both"/>
        <w:rPr>
          <w:rFonts w:cstheme="minorHAnsi"/>
          <w:sz w:val="22"/>
          <w:szCs w:val="22"/>
        </w:rPr>
      </w:pPr>
      <w:r w:rsidRPr="007E4833">
        <w:rPr>
          <w:rFonts w:cstheme="minorHAnsi"/>
          <w:sz w:val="22"/>
          <w:szCs w:val="22"/>
        </w:rPr>
        <w:t xml:space="preserve">In general, counterparty risk comes into play when dealing with securities lending and synthetic replication. In the case of securities lending, counterparty risk is seen when </w:t>
      </w:r>
      <w:r w:rsidRPr="007E4833">
        <w:rPr>
          <w:rFonts w:cstheme="minorHAnsi"/>
          <w:sz w:val="22"/>
          <w:szCs w:val="22"/>
        </w:rPr>
        <w:lastRenderedPageBreak/>
        <w:t>holdings are lent to another investor for a short period. This risk can be minimized by establishing collateral requirements. In the case of synthetic replication ETFs that track indices via swaps, risks can be mitigated by collateralizing the fund’s swap exposure. This leads to higher risk, but investors are compensated for this by being offered lower tracking error and lower fees compared to their physically backed peers.</w:t>
      </w:r>
    </w:p>
    <w:p w14:paraId="183EA5DD" w14:textId="77777777" w:rsidR="004E4427" w:rsidRPr="007E4833" w:rsidRDefault="004E4427" w:rsidP="007E4833">
      <w:pPr>
        <w:pStyle w:val="ListParagraph"/>
        <w:ind w:left="1440"/>
        <w:jc w:val="both"/>
        <w:rPr>
          <w:rFonts w:cstheme="minorHAnsi"/>
          <w:sz w:val="22"/>
          <w:szCs w:val="22"/>
        </w:rPr>
      </w:pPr>
    </w:p>
    <w:p w14:paraId="366DBE57" w14:textId="77777777" w:rsidR="004E4427" w:rsidRPr="007E4833" w:rsidRDefault="004E4427" w:rsidP="007E4833">
      <w:pPr>
        <w:pStyle w:val="ListParagraph"/>
        <w:numPr>
          <w:ilvl w:val="0"/>
          <w:numId w:val="16"/>
        </w:numPr>
        <w:ind w:left="1080" w:firstLine="0"/>
        <w:contextualSpacing w:val="0"/>
        <w:jc w:val="both"/>
        <w:rPr>
          <w:rFonts w:cstheme="minorHAnsi"/>
          <w:b/>
          <w:bCs/>
          <w:sz w:val="22"/>
          <w:szCs w:val="22"/>
        </w:rPr>
      </w:pPr>
      <w:r w:rsidRPr="007E4833">
        <w:rPr>
          <w:rFonts w:cstheme="minorHAnsi"/>
          <w:b/>
          <w:bCs/>
          <w:sz w:val="22"/>
          <w:szCs w:val="22"/>
        </w:rPr>
        <w:t>Tax risk</w:t>
      </w:r>
    </w:p>
    <w:p w14:paraId="2B2BEC25" w14:textId="77777777" w:rsidR="004E4427" w:rsidRPr="007E4833" w:rsidRDefault="004E4427" w:rsidP="007E4833">
      <w:pPr>
        <w:pStyle w:val="ListParagraph"/>
        <w:ind w:left="1440"/>
        <w:jc w:val="both"/>
        <w:rPr>
          <w:rFonts w:cstheme="minorHAnsi"/>
          <w:sz w:val="22"/>
          <w:szCs w:val="22"/>
        </w:rPr>
      </w:pPr>
      <w:r w:rsidRPr="007E4833">
        <w:rPr>
          <w:rFonts w:cstheme="minorHAnsi"/>
          <w:sz w:val="22"/>
          <w:szCs w:val="22"/>
        </w:rPr>
        <w:t>ETFs are widely considered to be tax efficient, but this doesn’t apply to all of them. It’s important for investors to read up on a fund’s tax treatment, especially if it’s exposed to commodity and currency markets. These funds are usually taxed differently than others.</w:t>
      </w:r>
    </w:p>
    <w:p w14:paraId="4F0F076E" w14:textId="77777777" w:rsidR="004E4427" w:rsidRPr="007E4833" w:rsidRDefault="004E4427" w:rsidP="007E4833">
      <w:pPr>
        <w:pStyle w:val="ListParagraph"/>
        <w:ind w:left="1440"/>
        <w:jc w:val="both"/>
        <w:rPr>
          <w:rFonts w:cstheme="minorHAnsi"/>
          <w:sz w:val="22"/>
          <w:szCs w:val="22"/>
        </w:rPr>
      </w:pPr>
      <w:r w:rsidRPr="007E4833">
        <w:rPr>
          <w:rFonts w:cstheme="minorHAnsi"/>
          <w:sz w:val="22"/>
          <w:szCs w:val="22"/>
        </w:rPr>
        <w:t>ETFs typically do in-kind transactions to avoid paying capital gains distributions. However, actively managed ETFs may not do all their selling in-kind, leaving investors exposed to capital gains taxes. This also applies to international ETFs, funds that use derivatives, commodity ETFs and currency ETFs.</w:t>
      </w:r>
    </w:p>
    <w:p w14:paraId="0E9CE573" w14:textId="77777777" w:rsidR="004E4427" w:rsidRPr="007E4833" w:rsidRDefault="004E4427" w:rsidP="007E4833">
      <w:pPr>
        <w:pStyle w:val="ListParagraph"/>
        <w:ind w:left="1440"/>
        <w:jc w:val="both"/>
        <w:rPr>
          <w:rFonts w:cstheme="minorHAnsi"/>
          <w:sz w:val="22"/>
          <w:szCs w:val="22"/>
        </w:rPr>
      </w:pPr>
    </w:p>
    <w:p w14:paraId="341B2221" w14:textId="77777777" w:rsidR="004E4427" w:rsidRPr="007E4833" w:rsidRDefault="004E4427" w:rsidP="007E4833">
      <w:pPr>
        <w:pStyle w:val="ListParagraph"/>
        <w:numPr>
          <w:ilvl w:val="0"/>
          <w:numId w:val="16"/>
        </w:numPr>
        <w:ind w:left="1080" w:firstLine="0"/>
        <w:contextualSpacing w:val="0"/>
        <w:jc w:val="both"/>
        <w:rPr>
          <w:rFonts w:cstheme="minorHAnsi"/>
          <w:b/>
          <w:bCs/>
          <w:sz w:val="22"/>
          <w:szCs w:val="22"/>
        </w:rPr>
      </w:pPr>
      <w:r w:rsidRPr="007E4833">
        <w:rPr>
          <w:rFonts w:cstheme="minorHAnsi"/>
          <w:b/>
          <w:bCs/>
          <w:sz w:val="22"/>
          <w:szCs w:val="22"/>
        </w:rPr>
        <w:t>Closure risk</w:t>
      </w:r>
    </w:p>
    <w:p w14:paraId="0FF90C0E" w14:textId="77777777" w:rsidR="004E4427" w:rsidRPr="007E4833" w:rsidRDefault="004E4427" w:rsidP="007E4833">
      <w:pPr>
        <w:pStyle w:val="ListParagraph"/>
        <w:ind w:left="1440"/>
        <w:jc w:val="both"/>
        <w:rPr>
          <w:rFonts w:cstheme="minorHAnsi"/>
          <w:sz w:val="22"/>
          <w:szCs w:val="22"/>
        </w:rPr>
      </w:pPr>
      <w:r w:rsidRPr="007E4833">
        <w:rPr>
          <w:rFonts w:cstheme="minorHAnsi"/>
          <w:sz w:val="22"/>
          <w:szCs w:val="22"/>
        </w:rPr>
        <w:t>On average, about 100 ETFs close each year. When this occurs, managers liquidate the fund and pay out their shareholders. Managers incur capital gains, transaction expenses and in some cases legal expenses, which ultimately trickle down to the investor. Closure risk is part and parcel of being an active market participant. Investors should sell an ETF as soon as the issuer announces it will close.</w:t>
      </w:r>
    </w:p>
    <w:p w14:paraId="6050342D" w14:textId="77777777" w:rsidR="004E4427" w:rsidRPr="007E4833" w:rsidRDefault="004E4427" w:rsidP="007E4833">
      <w:pPr>
        <w:pStyle w:val="ListParagraph"/>
        <w:ind w:left="1440"/>
        <w:jc w:val="both"/>
        <w:rPr>
          <w:rFonts w:cstheme="minorHAnsi"/>
          <w:sz w:val="22"/>
          <w:szCs w:val="22"/>
        </w:rPr>
      </w:pPr>
    </w:p>
    <w:p w14:paraId="7FEE79EF" w14:textId="77777777" w:rsidR="004E4427" w:rsidRPr="007E4833" w:rsidRDefault="004E4427" w:rsidP="007E4833">
      <w:pPr>
        <w:pStyle w:val="ListParagraph"/>
        <w:numPr>
          <w:ilvl w:val="0"/>
          <w:numId w:val="16"/>
        </w:numPr>
        <w:ind w:left="1080" w:firstLine="0"/>
        <w:contextualSpacing w:val="0"/>
        <w:jc w:val="both"/>
        <w:rPr>
          <w:rFonts w:cstheme="minorHAnsi"/>
          <w:b/>
          <w:bCs/>
          <w:sz w:val="22"/>
          <w:szCs w:val="22"/>
        </w:rPr>
      </w:pPr>
      <w:r w:rsidRPr="007E4833">
        <w:rPr>
          <w:rFonts w:cstheme="minorHAnsi"/>
          <w:b/>
          <w:bCs/>
          <w:sz w:val="22"/>
          <w:szCs w:val="22"/>
        </w:rPr>
        <w:t>Hype risk</w:t>
      </w:r>
    </w:p>
    <w:p w14:paraId="7AC8D2FC" w14:textId="77777777" w:rsidR="004E4427" w:rsidRPr="007E4833" w:rsidRDefault="004E4427" w:rsidP="007E4833">
      <w:pPr>
        <w:pStyle w:val="ListParagraph"/>
        <w:ind w:left="1440"/>
        <w:jc w:val="both"/>
        <w:rPr>
          <w:rFonts w:cstheme="minorHAnsi"/>
          <w:sz w:val="22"/>
          <w:szCs w:val="22"/>
        </w:rPr>
      </w:pPr>
      <w:r w:rsidRPr="007E4833">
        <w:rPr>
          <w:rFonts w:cstheme="minorHAnsi"/>
          <w:sz w:val="22"/>
          <w:szCs w:val="22"/>
        </w:rPr>
        <w:t>Hype risk often feeds into herd mentality, where investors chase the next big thing because fellow market participants are doing the same. ETFs are all the rage these days, which means many funds are propping into existence. Buzz is bound to happen. While exuberance is to be expected in a bull market, investors should be wary of chasing the so-called “next big thing.” This means sticking true to your investment strategy and studying each ETF’s methodology and documentation.</w:t>
      </w:r>
    </w:p>
    <w:p w14:paraId="5D28A4AF" w14:textId="77777777" w:rsidR="004E4427" w:rsidRPr="007E4833" w:rsidRDefault="004E4427" w:rsidP="007E4833">
      <w:pPr>
        <w:pStyle w:val="NormalWeb"/>
        <w:ind w:left="360"/>
        <w:jc w:val="both"/>
        <w:rPr>
          <w:rFonts w:asciiTheme="minorHAnsi" w:hAnsiTheme="minorHAnsi" w:cstheme="minorHAnsi"/>
          <w:sz w:val="22"/>
          <w:szCs w:val="22"/>
        </w:rPr>
      </w:pPr>
      <w:r w:rsidRPr="007E4833">
        <w:rPr>
          <w:rFonts w:asciiTheme="minorHAnsi" w:hAnsiTheme="minorHAnsi" w:cstheme="minorHAnsi"/>
          <w:sz w:val="22"/>
          <w:szCs w:val="22"/>
        </w:rPr>
        <w:t>Here are some additional resources for your consideration:</w:t>
      </w:r>
    </w:p>
    <w:tbl>
      <w:tblPr>
        <w:tblStyle w:val="LightShading-Accent1"/>
        <w:tblpPr w:leftFromText="180" w:rightFromText="180" w:vertAnchor="text" w:tblpX="486" w:tblpY="1"/>
        <w:tblOverlap w:val="never"/>
        <w:tblW w:w="9162" w:type="dxa"/>
        <w:tblLook w:val="04A0" w:firstRow="1" w:lastRow="0" w:firstColumn="1" w:lastColumn="0" w:noHBand="0" w:noVBand="1"/>
      </w:tblPr>
      <w:tblGrid>
        <w:gridCol w:w="3492"/>
        <w:gridCol w:w="5670"/>
      </w:tblGrid>
      <w:tr w:rsidR="004E4427" w:rsidRPr="007E4833" w14:paraId="0602B396" w14:textId="77777777" w:rsidTr="007E0680">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492" w:type="dxa"/>
            <w:hideMark/>
          </w:tcPr>
          <w:p w14:paraId="4AD1F480" w14:textId="77777777" w:rsidR="004E4427" w:rsidRPr="007E4833" w:rsidRDefault="004E4427" w:rsidP="007E4833">
            <w:pPr>
              <w:jc w:val="both"/>
              <w:rPr>
                <w:rFonts w:eastAsia="Times New Roman" w:cstheme="minorHAnsi"/>
                <w:color w:val="212529"/>
              </w:rPr>
            </w:pPr>
            <w:r w:rsidRPr="007E4833">
              <w:rPr>
                <w:rFonts w:eastAsia="Times New Roman" w:cstheme="minorHAnsi"/>
                <w:color w:val="212529"/>
              </w:rPr>
              <w:t>Title</w:t>
            </w:r>
          </w:p>
        </w:tc>
        <w:tc>
          <w:tcPr>
            <w:tcW w:w="5670" w:type="dxa"/>
            <w:hideMark/>
          </w:tcPr>
          <w:p w14:paraId="739DC104" w14:textId="77777777" w:rsidR="004E4427" w:rsidRPr="007E4833" w:rsidRDefault="004E4427" w:rsidP="007E4833">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E4833">
              <w:rPr>
                <w:rFonts w:cstheme="minorHAnsi"/>
              </w:rPr>
              <w:t>Web Address</w:t>
            </w:r>
          </w:p>
        </w:tc>
      </w:tr>
      <w:tr w:rsidR="004E4427" w:rsidRPr="007E4833" w14:paraId="54BA0859" w14:textId="77777777" w:rsidTr="004E4427">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3492" w:type="dxa"/>
            <w:tcBorders>
              <w:top w:val="nil"/>
              <w:bottom w:val="nil"/>
            </w:tcBorders>
            <w:hideMark/>
          </w:tcPr>
          <w:p w14:paraId="30B04228" w14:textId="77777777" w:rsidR="004E4427" w:rsidRPr="007E4833" w:rsidRDefault="004E4427" w:rsidP="007E4833">
            <w:pPr>
              <w:jc w:val="both"/>
              <w:rPr>
                <w:rFonts w:eastAsia="Times New Roman" w:cstheme="minorHAnsi"/>
                <w:color w:val="212529"/>
              </w:rPr>
            </w:pPr>
            <w:r w:rsidRPr="007E4833">
              <w:rPr>
                <w:rFonts w:eastAsia="Times New Roman" w:cstheme="minorHAnsi"/>
                <w:color w:val="212529"/>
              </w:rPr>
              <w:t>Exchange-Traded Notes—Avoid Unpleasant Surprises</w:t>
            </w:r>
          </w:p>
        </w:tc>
        <w:tc>
          <w:tcPr>
            <w:tcW w:w="5670" w:type="dxa"/>
            <w:tcBorders>
              <w:top w:val="nil"/>
              <w:bottom w:val="nil"/>
            </w:tcBorders>
            <w:hideMark/>
          </w:tcPr>
          <w:p w14:paraId="74E6C900" w14:textId="77777777" w:rsidR="004E4427" w:rsidRPr="007E4833" w:rsidRDefault="00D40186"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35" w:history="1">
              <w:r w:rsidR="004E4427" w:rsidRPr="007E4833">
                <w:rPr>
                  <w:rStyle w:val="Hyperlink"/>
                  <w:rFonts w:eastAsia="Times New Roman" w:cstheme="minorHAnsi"/>
                </w:rPr>
                <w:t>https://www.finra.org/investors/alerts/exchange-traded-notes-avoid-unpleasant-surprises</w:t>
              </w:r>
            </w:hyperlink>
          </w:p>
        </w:tc>
      </w:tr>
      <w:tr w:rsidR="004E4427" w:rsidRPr="007E4833" w14:paraId="04878807" w14:textId="77777777" w:rsidTr="004E4427">
        <w:trPr>
          <w:trHeight w:val="1700"/>
        </w:trPr>
        <w:tc>
          <w:tcPr>
            <w:cnfStyle w:val="001000000000" w:firstRow="0" w:lastRow="0" w:firstColumn="1" w:lastColumn="0" w:oddVBand="0" w:evenVBand="0" w:oddHBand="0" w:evenHBand="0" w:firstRowFirstColumn="0" w:firstRowLastColumn="0" w:lastRowFirstColumn="0" w:lastRowLastColumn="0"/>
            <w:tcW w:w="3492" w:type="dxa"/>
            <w:tcBorders>
              <w:top w:val="nil"/>
              <w:left w:val="nil"/>
              <w:bottom w:val="nil"/>
              <w:right w:val="nil"/>
            </w:tcBorders>
            <w:hideMark/>
          </w:tcPr>
          <w:p w14:paraId="7FDF2834" w14:textId="77777777" w:rsidR="004E4427" w:rsidRPr="007E4833" w:rsidRDefault="004E4427" w:rsidP="007E4833">
            <w:pPr>
              <w:jc w:val="both"/>
              <w:rPr>
                <w:rFonts w:eastAsia="Times New Roman" w:cstheme="minorHAnsi"/>
                <w:color w:val="212529"/>
              </w:rPr>
            </w:pPr>
            <w:r w:rsidRPr="007E4833">
              <w:rPr>
                <w:rFonts w:eastAsia="Times New Roman" w:cstheme="minorHAnsi"/>
                <w:color w:val="212529"/>
              </w:rPr>
              <w:t>Leveraged and Inverse ETFs: Specialized Products with Extra Risks for Buy-and-Hold Investors</w:t>
            </w:r>
          </w:p>
        </w:tc>
        <w:tc>
          <w:tcPr>
            <w:tcW w:w="5670" w:type="dxa"/>
            <w:tcBorders>
              <w:top w:val="nil"/>
              <w:left w:val="nil"/>
              <w:bottom w:val="nil"/>
              <w:right w:val="nil"/>
            </w:tcBorders>
            <w:hideMark/>
          </w:tcPr>
          <w:p w14:paraId="2F1645FB" w14:textId="77777777" w:rsidR="004E4427" w:rsidRPr="007E4833" w:rsidRDefault="00D40186"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36" w:history="1">
              <w:r w:rsidR="004E4427" w:rsidRPr="007E4833">
                <w:rPr>
                  <w:rStyle w:val="Hyperlink"/>
                  <w:rFonts w:eastAsia="Times New Roman" w:cstheme="minorHAnsi"/>
                </w:rPr>
                <w:t>https://www.finra.org/investors/alerts/leveraged-and-inverse-etfs-specialized-products-extra-risks-buy-and-hold-investors</w:t>
              </w:r>
            </w:hyperlink>
          </w:p>
        </w:tc>
      </w:tr>
      <w:tr w:rsidR="004E4427" w:rsidRPr="007E4833" w14:paraId="340993B8" w14:textId="77777777" w:rsidTr="004E4427">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3492" w:type="dxa"/>
            <w:tcBorders>
              <w:top w:val="nil"/>
              <w:bottom w:val="nil"/>
            </w:tcBorders>
            <w:hideMark/>
          </w:tcPr>
          <w:p w14:paraId="5E7A1FDA" w14:textId="77777777" w:rsidR="004E4427" w:rsidRPr="007E4833" w:rsidRDefault="004E4427" w:rsidP="007E4833">
            <w:pPr>
              <w:jc w:val="both"/>
              <w:rPr>
                <w:rFonts w:eastAsia="Times New Roman" w:cstheme="minorHAnsi"/>
                <w:color w:val="212529"/>
              </w:rPr>
            </w:pPr>
            <w:r w:rsidRPr="007E4833">
              <w:rPr>
                <w:rFonts w:eastAsia="Times New Roman" w:cstheme="minorHAnsi"/>
                <w:color w:val="212529"/>
              </w:rPr>
              <w:lastRenderedPageBreak/>
              <w:t>Leveraged and Inverse ETFs: Specialized Products with Extra Risks for Buy-and-Hold Investors</w:t>
            </w:r>
          </w:p>
        </w:tc>
        <w:tc>
          <w:tcPr>
            <w:tcW w:w="5670" w:type="dxa"/>
            <w:tcBorders>
              <w:top w:val="nil"/>
              <w:bottom w:val="nil"/>
            </w:tcBorders>
            <w:hideMark/>
          </w:tcPr>
          <w:p w14:paraId="0E24C797" w14:textId="77777777" w:rsidR="004E4427" w:rsidRPr="007E4833" w:rsidRDefault="00D40186"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37" w:history="1">
              <w:r w:rsidR="004E4427" w:rsidRPr="007E4833">
                <w:rPr>
                  <w:rStyle w:val="Hyperlink"/>
                  <w:rFonts w:eastAsia="Times New Roman" w:cstheme="minorHAnsi"/>
                </w:rPr>
                <w:t>https://www.finra.org/investors/alerts/leveraged-and-inverse-etfs-specialized-products-extra-risks-buy-and-hold-investors</w:t>
              </w:r>
            </w:hyperlink>
          </w:p>
        </w:tc>
      </w:tr>
      <w:tr w:rsidR="004E4427" w:rsidRPr="007E4833" w14:paraId="2EB230FC" w14:textId="77777777" w:rsidTr="004E4427">
        <w:trPr>
          <w:trHeight w:val="1360"/>
        </w:trPr>
        <w:tc>
          <w:tcPr>
            <w:cnfStyle w:val="001000000000" w:firstRow="0" w:lastRow="0" w:firstColumn="1" w:lastColumn="0" w:oddVBand="0" w:evenVBand="0" w:oddHBand="0" w:evenHBand="0" w:firstRowFirstColumn="0" w:firstRowLastColumn="0" w:lastRowFirstColumn="0" w:lastRowLastColumn="0"/>
            <w:tcW w:w="3492" w:type="dxa"/>
            <w:tcBorders>
              <w:top w:val="nil"/>
              <w:left w:val="nil"/>
              <w:bottom w:val="nil"/>
              <w:right w:val="nil"/>
            </w:tcBorders>
            <w:hideMark/>
          </w:tcPr>
          <w:p w14:paraId="6E74C598" w14:textId="77777777" w:rsidR="004E4427" w:rsidRPr="007E4833" w:rsidRDefault="004E4427" w:rsidP="007E4833">
            <w:pPr>
              <w:jc w:val="both"/>
              <w:rPr>
                <w:rFonts w:eastAsia="Times New Roman" w:cstheme="minorHAnsi"/>
                <w:color w:val="212529"/>
              </w:rPr>
            </w:pPr>
            <w:r w:rsidRPr="007E4833">
              <w:rPr>
                <w:rFonts w:eastAsia="Times New Roman" w:cstheme="minorHAnsi"/>
                <w:color w:val="212529"/>
              </w:rPr>
              <w:t>Mutual Fund Breakpoints: Are You Owed a Refund?</w:t>
            </w:r>
          </w:p>
        </w:tc>
        <w:tc>
          <w:tcPr>
            <w:tcW w:w="5670" w:type="dxa"/>
            <w:tcBorders>
              <w:top w:val="nil"/>
              <w:left w:val="nil"/>
              <w:bottom w:val="nil"/>
              <w:right w:val="nil"/>
            </w:tcBorders>
            <w:hideMark/>
          </w:tcPr>
          <w:p w14:paraId="10CD4A90" w14:textId="77777777" w:rsidR="004E4427" w:rsidRPr="007E4833" w:rsidRDefault="00D40186"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38" w:history="1">
              <w:r w:rsidR="004E4427" w:rsidRPr="007E4833">
                <w:rPr>
                  <w:rStyle w:val="Hyperlink"/>
                  <w:rFonts w:eastAsia="Times New Roman" w:cstheme="minorHAnsi"/>
                </w:rPr>
                <w:t>https://www.finra.org/investors/alerts/mutual-fund-breakpoints-are-you-owed-refund</w:t>
              </w:r>
            </w:hyperlink>
          </w:p>
        </w:tc>
      </w:tr>
      <w:tr w:rsidR="004E4427" w:rsidRPr="007E4833" w14:paraId="1669F004" w14:textId="77777777" w:rsidTr="004E4427">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3492" w:type="dxa"/>
            <w:tcBorders>
              <w:top w:val="nil"/>
              <w:bottom w:val="single" w:sz="8" w:space="0" w:color="4472C4" w:themeColor="accent1"/>
            </w:tcBorders>
            <w:hideMark/>
          </w:tcPr>
          <w:p w14:paraId="050DEFA5" w14:textId="77777777" w:rsidR="004E4427" w:rsidRPr="007E4833" w:rsidRDefault="004E4427" w:rsidP="007E4833">
            <w:pPr>
              <w:jc w:val="both"/>
              <w:rPr>
                <w:rFonts w:eastAsia="Times New Roman" w:cstheme="minorHAnsi"/>
                <w:color w:val="212529"/>
              </w:rPr>
            </w:pPr>
            <w:r w:rsidRPr="007E4833">
              <w:rPr>
                <w:rFonts w:eastAsia="Times New Roman" w:cstheme="minorHAnsi"/>
                <w:color w:val="212529"/>
              </w:rPr>
              <w:t>Updated: Mutual Fund Breakpoints: A Break Worth Taking</w:t>
            </w:r>
          </w:p>
        </w:tc>
        <w:tc>
          <w:tcPr>
            <w:tcW w:w="5670" w:type="dxa"/>
            <w:tcBorders>
              <w:top w:val="nil"/>
              <w:bottom w:val="single" w:sz="8" w:space="0" w:color="4472C4" w:themeColor="accent1"/>
            </w:tcBorders>
            <w:hideMark/>
          </w:tcPr>
          <w:p w14:paraId="02AF33FC" w14:textId="77777777" w:rsidR="004E4427" w:rsidRPr="007E4833" w:rsidRDefault="00D40186"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39" w:history="1">
              <w:r w:rsidR="004E4427" w:rsidRPr="007E4833">
                <w:rPr>
                  <w:rStyle w:val="Hyperlink"/>
                  <w:rFonts w:eastAsia="Times New Roman" w:cstheme="minorHAnsi"/>
                </w:rPr>
                <w:t>https://www.finra.org/investors/alerts/mutual-fund-breakpoints-break-worth-taking</w:t>
              </w:r>
            </w:hyperlink>
          </w:p>
        </w:tc>
      </w:tr>
    </w:tbl>
    <w:p w14:paraId="4FC2D600" w14:textId="77777777" w:rsidR="004E4427" w:rsidRPr="007E4833" w:rsidRDefault="004E4427" w:rsidP="007E4833">
      <w:pPr>
        <w:pStyle w:val="BodyText"/>
        <w:ind w:right="42"/>
        <w:jc w:val="both"/>
        <w:rPr>
          <w:rFonts w:eastAsiaTheme="minorHAnsi" w:cstheme="minorHAnsi"/>
          <w:lang w:bidi="ar-SA"/>
        </w:rPr>
      </w:pPr>
    </w:p>
    <w:p w14:paraId="2FA7BB71" w14:textId="50754C7D" w:rsidR="00BB5817" w:rsidRPr="007E4833" w:rsidRDefault="00BB5817" w:rsidP="007E4833">
      <w:pPr>
        <w:pStyle w:val="Heading2"/>
        <w:jc w:val="both"/>
        <w:rPr>
          <w:rFonts w:asciiTheme="minorHAnsi" w:hAnsiTheme="minorHAnsi" w:cstheme="minorHAnsi"/>
        </w:rPr>
      </w:pPr>
      <w:bookmarkStart w:id="14" w:name="_Toc453503817"/>
      <w:r w:rsidRPr="007E4833">
        <w:rPr>
          <w:rFonts w:asciiTheme="minorHAnsi" w:hAnsiTheme="minorHAnsi" w:cstheme="minorHAnsi"/>
        </w:rPr>
        <w:t>Margin</w:t>
      </w:r>
      <w:bookmarkEnd w:id="14"/>
    </w:p>
    <w:p w14:paraId="0CCEC5C4" w14:textId="77777777" w:rsidR="00267FC3" w:rsidRPr="007E4833" w:rsidRDefault="00267FC3" w:rsidP="007E4833">
      <w:pPr>
        <w:jc w:val="both"/>
        <w:rPr>
          <w:rFonts w:cstheme="minorHAnsi"/>
          <w:b/>
          <w:bCs/>
          <w:sz w:val="20"/>
          <w:szCs w:val="20"/>
        </w:rPr>
      </w:pPr>
    </w:p>
    <w:p w14:paraId="2D149947" w14:textId="77777777" w:rsidR="00C051CD" w:rsidRPr="007E4833" w:rsidRDefault="00C051CD" w:rsidP="007E4833">
      <w:pPr>
        <w:tabs>
          <w:tab w:val="left" w:pos="990"/>
        </w:tabs>
        <w:jc w:val="both"/>
        <w:rPr>
          <w:rFonts w:cstheme="minorHAnsi"/>
          <w:sz w:val="22"/>
          <w:szCs w:val="22"/>
        </w:rPr>
      </w:pPr>
      <w:r w:rsidRPr="007E4833">
        <w:rPr>
          <w:rFonts w:cstheme="minorHAnsi"/>
          <w:sz w:val="22"/>
          <w:szCs w:val="22"/>
        </w:rPr>
        <w:t>Margin accounts can be very risky and they are not suitable for everyone. Before opening a margin account, you should fully understand that:</w:t>
      </w:r>
    </w:p>
    <w:p w14:paraId="0A490081" w14:textId="77777777" w:rsidR="00C051CD" w:rsidRPr="007E4833" w:rsidRDefault="00C051CD" w:rsidP="007E4833">
      <w:pPr>
        <w:pStyle w:val="ListParagraph"/>
        <w:numPr>
          <w:ilvl w:val="0"/>
          <w:numId w:val="10"/>
        </w:numPr>
        <w:tabs>
          <w:tab w:val="left" w:pos="990"/>
        </w:tabs>
        <w:contextualSpacing w:val="0"/>
        <w:jc w:val="both"/>
        <w:rPr>
          <w:rFonts w:cstheme="minorHAnsi"/>
          <w:sz w:val="22"/>
          <w:szCs w:val="22"/>
        </w:rPr>
      </w:pPr>
      <w:r w:rsidRPr="007E4833">
        <w:rPr>
          <w:rFonts w:cstheme="minorHAnsi"/>
          <w:sz w:val="22"/>
          <w:szCs w:val="22"/>
        </w:rPr>
        <w:t>You can lose more money than you have invested;</w:t>
      </w:r>
    </w:p>
    <w:p w14:paraId="2DA501D2" w14:textId="77777777" w:rsidR="00C051CD" w:rsidRPr="007E4833" w:rsidRDefault="00C051CD" w:rsidP="007E4833">
      <w:pPr>
        <w:pStyle w:val="ListParagraph"/>
        <w:numPr>
          <w:ilvl w:val="0"/>
          <w:numId w:val="10"/>
        </w:numPr>
        <w:tabs>
          <w:tab w:val="left" w:pos="990"/>
        </w:tabs>
        <w:contextualSpacing w:val="0"/>
        <w:jc w:val="both"/>
        <w:rPr>
          <w:rFonts w:cstheme="minorHAnsi"/>
          <w:sz w:val="22"/>
          <w:szCs w:val="22"/>
        </w:rPr>
      </w:pPr>
      <w:r w:rsidRPr="007E4833">
        <w:rPr>
          <w:rFonts w:cstheme="minorHAnsi"/>
          <w:sz w:val="22"/>
          <w:szCs w:val="22"/>
        </w:rPr>
        <w:t>You may have to deposit additional cash or securities in your account on short notice to cover market losses;</w:t>
      </w:r>
    </w:p>
    <w:p w14:paraId="2E43AE88" w14:textId="77777777" w:rsidR="00C051CD" w:rsidRPr="007E4833" w:rsidRDefault="00C051CD" w:rsidP="007E4833">
      <w:pPr>
        <w:pStyle w:val="ListParagraph"/>
        <w:numPr>
          <w:ilvl w:val="0"/>
          <w:numId w:val="10"/>
        </w:numPr>
        <w:tabs>
          <w:tab w:val="left" w:pos="990"/>
        </w:tabs>
        <w:contextualSpacing w:val="0"/>
        <w:jc w:val="both"/>
        <w:rPr>
          <w:rFonts w:cstheme="minorHAnsi"/>
          <w:sz w:val="22"/>
          <w:szCs w:val="22"/>
        </w:rPr>
      </w:pPr>
      <w:r w:rsidRPr="007E4833">
        <w:rPr>
          <w:rFonts w:cstheme="minorHAnsi"/>
          <w:sz w:val="22"/>
          <w:szCs w:val="22"/>
        </w:rPr>
        <w:t>You may be forced to sell some or all of your securities when falling stock prices reduce the value of your securities; and</w:t>
      </w:r>
    </w:p>
    <w:p w14:paraId="758B57B1" w14:textId="77777777" w:rsidR="00C051CD" w:rsidRPr="007E4833" w:rsidRDefault="00C051CD" w:rsidP="007E4833">
      <w:pPr>
        <w:pStyle w:val="ListParagraph"/>
        <w:numPr>
          <w:ilvl w:val="0"/>
          <w:numId w:val="10"/>
        </w:numPr>
        <w:tabs>
          <w:tab w:val="left" w:pos="990"/>
        </w:tabs>
        <w:contextualSpacing w:val="0"/>
        <w:jc w:val="both"/>
        <w:rPr>
          <w:rFonts w:cstheme="minorHAnsi"/>
          <w:sz w:val="22"/>
          <w:szCs w:val="22"/>
        </w:rPr>
      </w:pPr>
      <w:r w:rsidRPr="007E4833">
        <w:rPr>
          <w:rFonts w:cstheme="minorHAnsi"/>
          <w:sz w:val="22"/>
          <w:szCs w:val="22"/>
        </w:rPr>
        <w:t>Your brokerage firm may sell some or all of your securities without consulting you to pay off the loan it made to you.</w:t>
      </w:r>
    </w:p>
    <w:p w14:paraId="7DB01BA8" w14:textId="77777777" w:rsidR="00C051CD" w:rsidRPr="007E4833" w:rsidRDefault="00C051CD" w:rsidP="007E4833">
      <w:pPr>
        <w:pStyle w:val="ListParagraph"/>
        <w:tabs>
          <w:tab w:val="left" w:pos="990"/>
        </w:tabs>
        <w:ind w:left="1440"/>
        <w:jc w:val="both"/>
        <w:rPr>
          <w:rFonts w:cstheme="minorHAnsi"/>
          <w:sz w:val="22"/>
          <w:szCs w:val="22"/>
        </w:rPr>
      </w:pPr>
      <w:r w:rsidRPr="007E4833">
        <w:rPr>
          <w:rFonts w:cstheme="minorHAnsi"/>
          <w:sz w:val="22"/>
          <w:szCs w:val="22"/>
        </w:rPr>
        <w:t>You can protect yourself by knowing how a margin account works and what happens if the price of the stock purchased on margin declines. Know that your firm charges you interest for borrowing money and how that will affect the total return on your investments. Be sure to ask your broker whether it makes sense for you to trade on margin in light of your financial resources, investment objectives, and tolerance for risk.</w:t>
      </w:r>
    </w:p>
    <w:p w14:paraId="6821EDB2" w14:textId="77777777" w:rsidR="00C051CD" w:rsidRPr="007E4833" w:rsidRDefault="00C051CD" w:rsidP="007E4833">
      <w:pPr>
        <w:tabs>
          <w:tab w:val="left" w:pos="990"/>
        </w:tabs>
        <w:jc w:val="both"/>
        <w:rPr>
          <w:rFonts w:cstheme="minorHAnsi"/>
          <w:sz w:val="22"/>
          <w:szCs w:val="22"/>
        </w:rPr>
      </w:pPr>
    </w:p>
    <w:p w14:paraId="78A8B4A1" w14:textId="77777777" w:rsidR="00C051CD" w:rsidRPr="007E4833" w:rsidRDefault="00C051CD" w:rsidP="007E4833">
      <w:pPr>
        <w:tabs>
          <w:tab w:val="left" w:pos="990"/>
        </w:tabs>
        <w:jc w:val="both"/>
        <w:rPr>
          <w:rFonts w:cstheme="minorHAnsi"/>
          <w:sz w:val="22"/>
          <w:szCs w:val="22"/>
        </w:rPr>
      </w:pPr>
      <w:r w:rsidRPr="007E4833">
        <w:rPr>
          <w:rFonts w:cstheme="minorHAnsi"/>
          <w:sz w:val="22"/>
          <w:szCs w:val="22"/>
        </w:rPr>
        <w:t>There is additional information in this article published on the SEC website at:</w:t>
      </w:r>
    </w:p>
    <w:p w14:paraId="7B268510" w14:textId="77777777" w:rsidR="00C051CD" w:rsidRPr="007E4833" w:rsidRDefault="00D40186" w:rsidP="007E4833">
      <w:pPr>
        <w:tabs>
          <w:tab w:val="left" w:pos="990"/>
        </w:tabs>
        <w:jc w:val="both"/>
        <w:rPr>
          <w:rFonts w:cstheme="minorHAnsi"/>
          <w:sz w:val="22"/>
          <w:szCs w:val="22"/>
        </w:rPr>
      </w:pPr>
      <w:hyperlink r:id="rId40" w:history="1">
        <w:r w:rsidR="00C051CD" w:rsidRPr="007E4833">
          <w:rPr>
            <w:rStyle w:val="Hyperlink"/>
            <w:rFonts w:cstheme="minorHAnsi"/>
            <w:sz w:val="22"/>
            <w:szCs w:val="22"/>
          </w:rPr>
          <w:t>https://www.sec.gov/reportspubs/investor-publications/investorpubsmarginhtm.html</w:t>
        </w:r>
      </w:hyperlink>
    </w:p>
    <w:p w14:paraId="0FCBAB54" w14:textId="77777777" w:rsidR="00C051CD" w:rsidRPr="007E4833" w:rsidRDefault="00C051CD" w:rsidP="007E4833">
      <w:pPr>
        <w:tabs>
          <w:tab w:val="left" w:pos="990"/>
        </w:tabs>
        <w:jc w:val="both"/>
        <w:rPr>
          <w:rFonts w:cstheme="minorHAnsi"/>
          <w:sz w:val="22"/>
          <w:szCs w:val="22"/>
        </w:rPr>
      </w:pPr>
    </w:p>
    <w:p w14:paraId="13787A61" w14:textId="073D5097" w:rsidR="00C051CD" w:rsidRPr="007E4833" w:rsidRDefault="00C051CD" w:rsidP="007E4833">
      <w:pPr>
        <w:tabs>
          <w:tab w:val="left" w:pos="990"/>
        </w:tabs>
        <w:jc w:val="both"/>
        <w:rPr>
          <w:rFonts w:cstheme="minorHAnsi"/>
          <w:sz w:val="22"/>
          <w:szCs w:val="22"/>
        </w:rPr>
      </w:pPr>
      <w:r w:rsidRPr="007E4833">
        <w:rPr>
          <w:rFonts w:cstheme="minorHAnsi"/>
          <w:sz w:val="22"/>
          <w:szCs w:val="22"/>
        </w:rPr>
        <w:t xml:space="preserve">You will also receive a Margin Agreement when we recommend a margin account for you. Please read it carefully. </w:t>
      </w:r>
      <w:r w:rsidR="007E0680" w:rsidRPr="007E4833">
        <w:rPr>
          <w:rFonts w:cstheme="minorHAnsi"/>
          <w:sz w:val="22"/>
          <w:szCs w:val="22"/>
        </w:rPr>
        <w:t xml:space="preserve">It is your primary source of information. </w:t>
      </w:r>
    </w:p>
    <w:p w14:paraId="0FFB8BF2" w14:textId="77777777" w:rsidR="00C051CD" w:rsidRPr="007E4833" w:rsidRDefault="00C051CD" w:rsidP="007E4833">
      <w:pPr>
        <w:tabs>
          <w:tab w:val="left" w:pos="990"/>
        </w:tabs>
        <w:jc w:val="both"/>
        <w:rPr>
          <w:rFonts w:cstheme="minorHAnsi"/>
          <w:sz w:val="22"/>
          <w:szCs w:val="22"/>
        </w:rPr>
      </w:pPr>
    </w:p>
    <w:p w14:paraId="403478F0" w14:textId="77777777" w:rsidR="00C051CD" w:rsidRPr="007E4833" w:rsidRDefault="00C051CD" w:rsidP="007E4833">
      <w:pPr>
        <w:tabs>
          <w:tab w:val="left" w:pos="990"/>
        </w:tabs>
        <w:jc w:val="both"/>
        <w:rPr>
          <w:rFonts w:cstheme="minorHAnsi"/>
          <w:sz w:val="22"/>
          <w:szCs w:val="22"/>
        </w:rPr>
      </w:pPr>
      <w:r w:rsidRPr="007E4833">
        <w:rPr>
          <w:rFonts w:cstheme="minorHAnsi"/>
          <w:sz w:val="22"/>
          <w:szCs w:val="22"/>
        </w:rPr>
        <w:t>Here is additional information for your consideration when trading on margin:</w:t>
      </w:r>
    </w:p>
    <w:p w14:paraId="3810679B" w14:textId="77777777" w:rsidR="00C051CD" w:rsidRPr="007E4833" w:rsidRDefault="00C051CD" w:rsidP="007E4833">
      <w:pPr>
        <w:tabs>
          <w:tab w:val="left" w:pos="990"/>
        </w:tabs>
        <w:jc w:val="both"/>
        <w:rPr>
          <w:rFonts w:cstheme="minorHAnsi"/>
        </w:rPr>
      </w:pPr>
    </w:p>
    <w:tbl>
      <w:tblPr>
        <w:tblStyle w:val="LightShading-Accent1"/>
        <w:tblW w:w="9270" w:type="dxa"/>
        <w:tblInd w:w="108" w:type="dxa"/>
        <w:tblLook w:val="04A0" w:firstRow="1" w:lastRow="0" w:firstColumn="1" w:lastColumn="0" w:noHBand="0" w:noVBand="1"/>
      </w:tblPr>
      <w:tblGrid>
        <w:gridCol w:w="3240"/>
        <w:gridCol w:w="6030"/>
      </w:tblGrid>
      <w:tr w:rsidR="00C051CD" w:rsidRPr="007E4833" w14:paraId="66A7CCE2" w14:textId="77777777" w:rsidTr="007E0680">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240" w:type="dxa"/>
            <w:hideMark/>
          </w:tcPr>
          <w:p w14:paraId="686365AB" w14:textId="77777777" w:rsidR="00C051CD" w:rsidRPr="007E4833" w:rsidRDefault="00C051CD" w:rsidP="007E4833">
            <w:pPr>
              <w:jc w:val="both"/>
              <w:rPr>
                <w:rFonts w:eastAsia="Times New Roman" w:cstheme="minorHAnsi"/>
                <w:color w:val="212529"/>
              </w:rPr>
            </w:pPr>
            <w:r w:rsidRPr="007E4833">
              <w:rPr>
                <w:rFonts w:eastAsia="Times New Roman" w:cstheme="minorHAnsi"/>
                <w:color w:val="212529"/>
              </w:rPr>
              <w:t>Title</w:t>
            </w:r>
          </w:p>
        </w:tc>
        <w:tc>
          <w:tcPr>
            <w:tcW w:w="6030" w:type="dxa"/>
            <w:hideMark/>
          </w:tcPr>
          <w:p w14:paraId="48405272" w14:textId="77777777" w:rsidR="00C051CD" w:rsidRPr="007E4833" w:rsidRDefault="00C051CD" w:rsidP="007E4833">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FF"/>
                <w:u w:val="single"/>
              </w:rPr>
            </w:pPr>
            <w:r w:rsidRPr="007E4833">
              <w:rPr>
                <w:rFonts w:eastAsia="Times New Roman" w:cstheme="minorHAnsi"/>
                <w:color w:val="0000FF"/>
                <w:u w:val="single"/>
              </w:rPr>
              <w:t>Web Address</w:t>
            </w:r>
          </w:p>
        </w:tc>
      </w:tr>
      <w:tr w:rsidR="00C051CD" w:rsidRPr="007E4833" w14:paraId="7CDBB6FE" w14:textId="77777777" w:rsidTr="007E068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240" w:type="dxa"/>
            <w:tcBorders>
              <w:top w:val="nil"/>
              <w:bottom w:val="nil"/>
            </w:tcBorders>
            <w:hideMark/>
          </w:tcPr>
          <w:p w14:paraId="4E6BE267" w14:textId="77777777" w:rsidR="00C051CD" w:rsidRPr="007E4833" w:rsidRDefault="00C051CD" w:rsidP="007E4833">
            <w:pPr>
              <w:jc w:val="both"/>
              <w:rPr>
                <w:rFonts w:eastAsia="Times New Roman" w:cstheme="minorHAnsi"/>
                <w:color w:val="212529"/>
              </w:rPr>
            </w:pPr>
            <w:r w:rsidRPr="007E4833">
              <w:rPr>
                <w:rFonts w:eastAsia="Times New Roman" w:cstheme="minorHAnsi"/>
                <w:color w:val="212529"/>
              </w:rPr>
              <w:lastRenderedPageBreak/>
              <w:t>Investing with Borrowed Funds: No “Margin” for Error</w:t>
            </w:r>
          </w:p>
        </w:tc>
        <w:tc>
          <w:tcPr>
            <w:tcW w:w="6030" w:type="dxa"/>
            <w:tcBorders>
              <w:top w:val="nil"/>
              <w:bottom w:val="nil"/>
            </w:tcBorders>
            <w:hideMark/>
          </w:tcPr>
          <w:p w14:paraId="1BD95D44" w14:textId="77777777" w:rsidR="00C051CD" w:rsidRPr="007E4833" w:rsidRDefault="00D40186"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41" w:history="1">
              <w:r w:rsidR="00C051CD" w:rsidRPr="007E4833">
                <w:rPr>
                  <w:rStyle w:val="Hyperlink"/>
                  <w:rFonts w:eastAsia="Times New Roman" w:cstheme="minorHAnsi"/>
                </w:rPr>
                <w:t>https://www.finra.org/investors/alerts/investing-borrowed-funds-no-margin-error</w:t>
              </w:r>
            </w:hyperlink>
          </w:p>
        </w:tc>
      </w:tr>
      <w:tr w:rsidR="00C051CD" w:rsidRPr="007E4833" w14:paraId="7ABD77EE" w14:textId="77777777" w:rsidTr="007E0680">
        <w:trPr>
          <w:trHeight w:val="1200"/>
        </w:trPr>
        <w:tc>
          <w:tcPr>
            <w:cnfStyle w:val="001000000000" w:firstRow="0" w:lastRow="0" w:firstColumn="1" w:lastColumn="0" w:oddVBand="0" w:evenVBand="0" w:oddHBand="0" w:evenHBand="0" w:firstRowFirstColumn="0" w:firstRowLastColumn="0" w:lastRowFirstColumn="0" w:lastRowLastColumn="0"/>
            <w:tcW w:w="3240" w:type="dxa"/>
            <w:tcBorders>
              <w:top w:val="nil"/>
              <w:left w:val="nil"/>
              <w:bottom w:val="single" w:sz="8" w:space="0" w:color="4472C4" w:themeColor="accent1"/>
              <w:right w:val="nil"/>
            </w:tcBorders>
            <w:hideMark/>
          </w:tcPr>
          <w:p w14:paraId="14081E72" w14:textId="77777777" w:rsidR="00C051CD" w:rsidRPr="007E4833" w:rsidRDefault="00C051CD" w:rsidP="007E4833">
            <w:pPr>
              <w:jc w:val="both"/>
              <w:rPr>
                <w:rFonts w:eastAsia="Times New Roman" w:cstheme="minorHAnsi"/>
                <w:color w:val="212529"/>
              </w:rPr>
            </w:pPr>
            <w:r w:rsidRPr="007E4833">
              <w:rPr>
                <w:rFonts w:eastAsia="Times New Roman" w:cstheme="minorHAnsi"/>
                <w:color w:val="212529"/>
              </w:rPr>
              <w:t>Stock-Based Loan Programs: What Investors Need to Know</w:t>
            </w:r>
          </w:p>
        </w:tc>
        <w:tc>
          <w:tcPr>
            <w:tcW w:w="6030" w:type="dxa"/>
            <w:tcBorders>
              <w:top w:val="nil"/>
              <w:left w:val="nil"/>
              <w:bottom w:val="single" w:sz="8" w:space="0" w:color="4472C4" w:themeColor="accent1"/>
              <w:right w:val="nil"/>
            </w:tcBorders>
            <w:hideMark/>
          </w:tcPr>
          <w:p w14:paraId="1684ABBF" w14:textId="77777777" w:rsidR="00C051CD" w:rsidRPr="007E4833" w:rsidRDefault="00D40186"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42" w:history="1">
              <w:r w:rsidR="00C051CD" w:rsidRPr="007E4833">
                <w:rPr>
                  <w:rStyle w:val="Hyperlink"/>
                  <w:rFonts w:eastAsia="Times New Roman" w:cstheme="minorHAnsi"/>
                </w:rPr>
                <w:t>https://www.finra.org/investors/alerts/stock-based-loan-programs-what-investors-need-know</w:t>
              </w:r>
            </w:hyperlink>
          </w:p>
        </w:tc>
      </w:tr>
    </w:tbl>
    <w:p w14:paraId="73A150E8" w14:textId="77777777" w:rsidR="008D3722" w:rsidRPr="007E4833" w:rsidRDefault="008D3722" w:rsidP="007E4833">
      <w:pPr>
        <w:jc w:val="both"/>
        <w:rPr>
          <w:rFonts w:cstheme="minorHAnsi"/>
          <w:sz w:val="20"/>
          <w:szCs w:val="20"/>
        </w:rPr>
      </w:pPr>
    </w:p>
    <w:p w14:paraId="5649551F" w14:textId="571C1CCE" w:rsidR="007E0680" w:rsidRPr="007E4833" w:rsidRDefault="007E0680" w:rsidP="007E4833">
      <w:pPr>
        <w:pStyle w:val="Heading2"/>
        <w:jc w:val="both"/>
        <w:rPr>
          <w:rFonts w:asciiTheme="minorHAnsi" w:hAnsiTheme="minorHAnsi" w:cstheme="minorHAnsi"/>
        </w:rPr>
      </w:pPr>
      <w:bookmarkStart w:id="15" w:name="_Toc453503818"/>
      <w:r w:rsidRPr="007E4833">
        <w:rPr>
          <w:rFonts w:asciiTheme="minorHAnsi" w:hAnsiTheme="minorHAnsi" w:cstheme="minorHAnsi"/>
        </w:rPr>
        <w:t>Options</w:t>
      </w:r>
      <w:bookmarkEnd w:id="15"/>
    </w:p>
    <w:p w14:paraId="38437DBF" w14:textId="77777777" w:rsidR="00C051CD" w:rsidRPr="007E4833" w:rsidRDefault="00C051CD" w:rsidP="007E4833">
      <w:pPr>
        <w:pStyle w:val="BodyText"/>
        <w:jc w:val="both"/>
        <w:rPr>
          <w:rFonts w:cstheme="minorHAnsi"/>
        </w:rPr>
      </w:pPr>
      <w:r w:rsidRPr="007E4833">
        <w:rPr>
          <w:rFonts w:cstheme="minorHAnsi"/>
        </w:rPr>
        <w:t>Options are contracts that give the purchaser the right, but not the obligation, to buy or sell a security, such as a stock or exchange-traded fund, at a fixed price within a specific period of time.</w:t>
      </w:r>
    </w:p>
    <w:p w14:paraId="103BD9D6" w14:textId="77777777" w:rsidR="00C051CD" w:rsidRPr="007E4833" w:rsidRDefault="00C051CD" w:rsidP="007E4833">
      <w:pPr>
        <w:pStyle w:val="BodyText"/>
        <w:jc w:val="both"/>
        <w:rPr>
          <w:rFonts w:cstheme="minorHAnsi"/>
        </w:rPr>
      </w:pPr>
    </w:p>
    <w:p w14:paraId="6320AB3A" w14:textId="77777777" w:rsidR="00C051CD" w:rsidRPr="007E4833" w:rsidRDefault="00C051CD" w:rsidP="007E4833">
      <w:pPr>
        <w:pStyle w:val="BodyText"/>
        <w:jc w:val="both"/>
        <w:rPr>
          <w:rFonts w:cstheme="minorHAnsi"/>
        </w:rPr>
      </w:pPr>
      <w:r w:rsidRPr="007E4833">
        <w:rPr>
          <w:rFonts w:cstheme="minorHAnsi"/>
        </w:rPr>
        <w:t>Options can help you manage risk. But buying and selling options also involves risk, and it is possible to lose money. It pays to learn about different types of options, trading strategies and the risks involved.</w:t>
      </w:r>
    </w:p>
    <w:p w14:paraId="7755AAA8" w14:textId="77777777" w:rsidR="00C051CD" w:rsidRPr="007E4833" w:rsidRDefault="00C051CD" w:rsidP="007E4833">
      <w:pPr>
        <w:pStyle w:val="BodyText"/>
        <w:jc w:val="both"/>
        <w:rPr>
          <w:rFonts w:cstheme="minorHAnsi"/>
        </w:rPr>
      </w:pPr>
    </w:p>
    <w:p w14:paraId="2C80E006" w14:textId="77777777" w:rsidR="00C051CD" w:rsidRPr="007E4833" w:rsidRDefault="00C051CD" w:rsidP="007E4833">
      <w:pPr>
        <w:pStyle w:val="BodyText"/>
        <w:jc w:val="both"/>
        <w:rPr>
          <w:rFonts w:cstheme="minorHAnsi"/>
        </w:rPr>
      </w:pPr>
      <w:r w:rsidRPr="007E4833">
        <w:rPr>
          <w:rFonts w:cstheme="minorHAnsi"/>
        </w:rPr>
        <w:t>If you invest in options, you will receive a separate Options Disclosure Document. We encourage you to read it carefully.</w:t>
      </w:r>
    </w:p>
    <w:p w14:paraId="671F1CB8" w14:textId="77777777" w:rsidR="00C051CD" w:rsidRPr="007E4833" w:rsidRDefault="00C051CD" w:rsidP="007E4833">
      <w:pPr>
        <w:pStyle w:val="BodyText"/>
        <w:jc w:val="both"/>
        <w:rPr>
          <w:rFonts w:cstheme="minorHAnsi"/>
        </w:rPr>
      </w:pPr>
      <w:r w:rsidRPr="007E4833">
        <w:rPr>
          <w:rFonts w:cstheme="minorHAnsi"/>
        </w:rPr>
        <w:t xml:space="preserve"> </w:t>
      </w:r>
    </w:p>
    <w:p w14:paraId="2F9DB72E" w14:textId="77777777" w:rsidR="00C051CD" w:rsidRPr="007E4833" w:rsidRDefault="00C051CD" w:rsidP="007E4833">
      <w:pPr>
        <w:pStyle w:val="BodyText"/>
        <w:jc w:val="both"/>
        <w:rPr>
          <w:rFonts w:cstheme="minorHAnsi"/>
        </w:rPr>
      </w:pPr>
      <w:r w:rsidRPr="007E4833">
        <w:rPr>
          <w:rFonts w:cstheme="minorHAnsi"/>
        </w:rPr>
        <w:t>We also encourage you to review FINRA’s Options resources found here:</w:t>
      </w:r>
    </w:p>
    <w:p w14:paraId="50892E9C" w14:textId="77777777" w:rsidR="00C051CD" w:rsidRPr="007E4833" w:rsidRDefault="00D40186" w:rsidP="007E4833">
      <w:pPr>
        <w:ind w:left="720"/>
        <w:jc w:val="both"/>
        <w:rPr>
          <w:rFonts w:cstheme="minorHAnsi"/>
          <w:bCs/>
          <w:sz w:val="22"/>
          <w:szCs w:val="22"/>
        </w:rPr>
      </w:pPr>
      <w:hyperlink r:id="rId43" w:history="1">
        <w:r w:rsidR="00C051CD" w:rsidRPr="007E4833">
          <w:rPr>
            <w:rStyle w:val="Hyperlink"/>
            <w:rFonts w:cstheme="minorHAnsi"/>
            <w:bCs/>
            <w:sz w:val="22"/>
            <w:szCs w:val="22"/>
          </w:rPr>
          <w:t>https://www.finra.org/investors/learn-to-invest/types-investments/options</w:t>
        </w:r>
      </w:hyperlink>
    </w:p>
    <w:p w14:paraId="39CDFAC7" w14:textId="77777777" w:rsidR="00C051CD" w:rsidRPr="007E4833" w:rsidRDefault="00C051CD" w:rsidP="007E4833">
      <w:pPr>
        <w:ind w:left="720"/>
        <w:jc w:val="both"/>
        <w:rPr>
          <w:rFonts w:cstheme="minorHAnsi"/>
          <w:bCs/>
          <w:sz w:val="22"/>
          <w:szCs w:val="22"/>
        </w:rPr>
      </w:pPr>
    </w:p>
    <w:p w14:paraId="2E1A718C" w14:textId="77777777" w:rsidR="00C051CD" w:rsidRPr="007E4833" w:rsidRDefault="00C051CD" w:rsidP="007E4833">
      <w:pPr>
        <w:ind w:left="720"/>
        <w:jc w:val="both"/>
        <w:rPr>
          <w:rFonts w:cstheme="minorHAnsi"/>
          <w:bCs/>
          <w:sz w:val="22"/>
          <w:szCs w:val="22"/>
        </w:rPr>
      </w:pPr>
      <w:r w:rsidRPr="007E4833">
        <w:rPr>
          <w:rFonts w:cstheme="minorHAnsi"/>
          <w:bCs/>
          <w:sz w:val="22"/>
          <w:szCs w:val="22"/>
        </w:rPr>
        <w:t>Here are general descriptions of the risks inherent in options investing:</w:t>
      </w:r>
    </w:p>
    <w:p w14:paraId="4782C5C0" w14:textId="77777777" w:rsidR="00C051CD" w:rsidRPr="007E4833" w:rsidRDefault="00C051CD" w:rsidP="007E4833">
      <w:pPr>
        <w:ind w:left="720"/>
        <w:jc w:val="both"/>
        <w:rPr>
          <w:rFonts w:cstheme="minorHAnsi"/>
          <w:bCs/>
          <w:sz w:val="22"/>
          <w:szCs w:val="22"/>
        </w:rPr>
      </w:pPr>
    </w:p>
    <w:p w14:paraId="7EE931EF" w14:textId="77777777" w:rsidR="00C051CD" w:rsidRPr="007E4833" w:rsidRDefault="00C051CD" w:rsidP="007E4833">
      <w:pPr>
        <w:pStyle w:val="ListParagraph"/>
        <w:numPr>
          <w:ilvl w:val="3"/>
          <w:numId w:val="11"/>
        </w:numPr>
        <w:ind w:left="1440"/>
        <w:contextualSpacing w:val="0"/>
        <w:jc w:val="both"/>
        <w:rPr>
          <w:rFonts w:cstheme="minorHAnsi"/>
          <w:b/>
          <w:bCs/>
          <w:sz w:val="22"/>
          <w:szCs w:val="22"/>
        </w:rPr>
      </w:pPr>
      <w:r w:rsidRPr="007E4833">
        <w:rPr>
          <w:rFonts w:cstheme="minorHAnsi"/>
          <w:b/>
          <w:bCs/>
          <w:sz w:val="22"/>
          <w:szCs w:val="22"/>
        </w:rPr>
        <w:t>Risks of option holders</w:t>
      </w:r>
    </w:p>
    <w:p w14:paraId="532DA033" w14:textId="77777777" w:rsidR="00C051CD" w:rsidRPr="007E4833" w:rsidRDefault="00C051CD" w:rsidP="007E4833">
      <w:pPr>
        <w:pStyle w:val="ListParagraph"/>
        <w:numPr>
          <w:ilvl w:val="0"/>
          <w:numId w:val="16"/>
        </w:numPr>
        <w:ind w:left="1710" w:hanging="270"/>
        <w:contextualSpacing w:val="0"/>
        <w:jc w:val="both"/>
        <w:rPr>
          <w:rFonts w:cstheme="minorHAnsi"/>
          <w:sz w:val="22"/>
          <w:szCs w:val="22"/>
        </w:rPr>
      </w:pPr>
      <w:r w:rsidRPr="007E4833">
        <w:rPr>
          <w:rFonts w:cstheme="minorHAnsi"/>
          <w:sz w:val="22"/>
          <w:szCs w:val="22"/>
        </w:rPr>
        <w:t>An option holder runs the risk of losing the entire amount paid for the option in a relatively short period of time.</w:t>
      </w:r>
    </w:p>
    <w:p w14:paraId="1867A078" w14:textId="77777777" w:rsidR="00C051CD" w:rsidRPr="007E4833" w:rsidRDefault="00C051CD" w:rsidP="007E4833">
      <w:pPr>
        <w:pStyle w:val="ListParagraph"/>
        <w:numPr>
          <w:ilvl w:val="1"/>
          <w:numId w:val="15"/>
        </w:numPr>
        <w:ind w:left="1710" w:hanging="270"/>
        <w:contextualSpacing w:val="0"/>
        <w:jc w:val="both"/>
        <w:rPr>
          <w:rFonts w:cstheme="minorHAnsi"/>
          <w:sz w:val="22"/>
          <w:szCs w:val="22"/>
        </w:rPr>
      </w:pPr>
      <w:r w:rsidRPr="007E4833">
        <w:rPr>
          <w:rFonts w:cstheme="minorHAnsi"/>
          <w:sz w:val="22"/>
          <w:szCs w:val="22"/>
        </w:rPr>
        <w:t>The more an option is out of the money and the shorter the remaining time to expiration, the greater the risk that an option holder will lose all or part of his investment in the option.</w:t>
      </w:r>
    </w:p>
    <w:p w14:paraId="5A83CA33" w14:textId="77777777" w:rsidR="00C051CD" w:rsidRPr="007E4833" w:rsidRDefault="00C051CD" w:rsidP="007E4833">
      <w:pPr>
        <w:pStyle w:val="ListParagraph"/>
        <w:numPr>
          <w:ilvl w:val="1"/>
          <w:numId w:val="15"/>
        </w:numPr>
        <w:ind w:left="1710" w:hanging="270"/>
        <w:contextualSpacing w:val="0"/>
        <w:jc w:val="both"/>
        <w:rPr>
          <w:rFonts w:cstheme="minorHAnsi"/>
          <w:sz w:val="22"/>
          <w:szCs w:val="22"/>
        </w:rPr>
      </w:pPr>
      <w:r w:rsidRPr="007E4833">
        <w:rPr>
          <w:rFonts w:cstheme="minorHAnsi"/>
          <w:sz w:val="22"/>
          <w:szCs w:val="22"/>
        </w:rPr>
        <w:t>Prior to the period when a European-style option or a capped option is exercisable, the only means through which the holder can realize value from the option (unless the capped option is automatically exercised) is to sell it at its then market price in an available secondary market.</w:t>
      </w:r>
    </w:p>
    <w:p w14:paraId="0CF0DF9F" w14:textId="77777777" w:rsidR="00C051CD" w:rsidRPr="007E4833" w:rsidRDefault="00C051CD" w:rsidP="007E4833">
      <w:pPr>
        <w:pStyle w:val="ListParagraph"/>
        <w:numPr>
          <w:ilvl w:val="1"/>
          <w:numId w:val="15"/>
        </w:numPr>
        <w:ind w:left="1710" w:hanging="270"/>
        <w:contextualSpacing w:val="0"/>
        <w:jc w:val="both"/>
        <w:rPr>
          <w:rFonts w:cstheme="minorHAnsi"/>
          <w:sz w:val="22"/>
          <w:szCs w:val="22"/>
        </w:rPr>
      </w:pPr>
      <w:r w:rsidRPr="007E4833">
        <w:rPr>
          <w:rFonts w:cstheme="minorHAnsi"/>
          <w:sz w:val="22"/>
          <w:szCs w:val="22"/>
        </w:rPr>
        <w:t>The exercise provisions of an option may create certain risks for the option holders</w:t>
      </w:r>
    </w:p>
    <w:p w14:paraId="0FBF891E" w14:textId="77777777" w:rsidR="00C051CD" w:rsidRPr="007E4833" w:rsidRDefault="00C051CD" w:rsidP="007E4833">
      <w:pPr>
        <w:pStyle w:val="ListParagraph"/>
        <w:numPr>
          <w:ilvl w:val="1"/>
          <w:numId w:val="15"/>
        </w:numPr>
        <w:ind w:left="1710" w:hanging="270"/>
        <w:contextualSpacing w:val="0"/>
        <w:jc w:val="both"/>
        <w:rPr>
          <w:rFonts w:cstheme="minorHAnsi"/>
          <w:sz w:val="22"/>
          <w:szCs w:val="22"/>
        </w:rPr>
      </w:pPr>
      <w:r w:rsidRPr="007E4833">
        <w:rPr>
          <w:rFonts w:cstheme="minorHAnsi"/>
          <w:sz w:val="22"/>
          <w:szCs w:val="22"/>
        </w:rPr>
        <w:t>The courts, the SEC, another regulatory agency, OCC or the options markets may impose exercise restrictions.</w:t>
      </w:r>
    </w:p>
    <w:p w14:paraId="41FBF9C6" w14:textId="77777777" w:rsidR="00C051CD" w:rsidRPr="007E4833" w:rsidRDefault="00C051CD" w:rsidP="007E4833">
      <w:pPr>
        <w:pStyle w:val="ListParagraph"/>
        <w:ind w:left="1710"/>
        <w:jc w:val="both"/>
        <w:rPr>
          <w:rFonts w:cstheme="minorHAnsi"/>
          <w:sz w:val="22"/>
          <w:szCs w:val="22"/>
        </w:rPr>
      </w:pPr>
    </w:p>
    <w:p w14:paraId="7AA9EB68" w14:textId="77777777" w:rsidR="00C051CD" w:rsidRPr="007E4833" w:rsidRDefault="00C051CD" w:rsidP="007E4833">
      <w:pPr>
        <w:pStyle w:val="ListParagraph"/>
        <w:numPr>
          <w:ilvl w:val="3"/>
          <w:numId w:val="11"/>
        </w:numPr>
        <w:ind w:left="1440"/>
        <w:contextualSpacing w:val="0"/>
        <w:jc w:val="both"/>
        <w:rPr>
          <w:rFonts w:cstheme="minorHAnsi"/>
          <w:b/>
          <w:bCs/>
          <w:sz w:val="22"/>
          <w:szCs w:val="22"/>
        </w:rPr>
      </w:pPr>
      <w:r w:rsidRPr="007E4833">
        <w:rPr>
          <w:rFonts w:cstheme="minorHAnsi"/>
          <w:b/>
          <w:bCs/>
          <w:sz w:val="22"/>
          <w:szCs w:val="22"/>
        </w:rPr>
        <w:t>Risks of option writers</w:t>
      </w:r>
    </w:p>
    <w:p w14:paraId="63B8E3C0"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An option writer may be assigned to an exercise at any time during the period the option is exercisable.</w:t>
      </w:r>
    </w:p>
    <w:p w14:paraId="4706170A"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The writer of a covered call forgoes the opportunity to benefit from an increase in the value of the underlying interest above the option price, but continues to bear the risk of a decline in the value of the underlying interest.</w:t>
      </w:r>
    </w:p>
    <w:p w14:paraId="4FAEAFC0"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The Writer of an uncovered call is in an extremely risky position and may incur large losses if the value of the underlying interest increases above the exercise price.</w:t>
      </w:r>
    </w:p>
    <w:p w14:paraId="7B993FC6"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lastRenderedPageBreak/>
        <w:t>As with writing uncovered calls, the risk of writing put options is substantial. The writer of a put option bears a risk of loss if the value of the underlying interest declines below the exercise price, and such loss could be substantial if the decline is significant.</w:t>
      </w:r>
    </w:p>
    <w:p w14:paraId="413085C4"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The risk of being an option writer may be reduced by the purchase of other options on the same underlying interest-and thereby assuming a spread position- or by acquiring other types of hedging positions in the options markets or other markets. However, even where the writer has assumed a spread or other hedging position, the risks may still be significant.</w:t>
      </w:r>
    </w:p>
    <w:p w14:paraId="7D888D56"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The obligation of a writer of an uncovered call or of a put that is not cash-secured to meet applicable margin requirements creates additional risks.</w:t>
      </w:r>
    </w:p>
    <w:p w14:paraId="7AA313F9"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Since the leverage inherent in an option can cause the impact of price changes in the underlying interest to be magnified in the price of the option, a writer of an option that is uncovered and unhedged may have a significantly greater risk than a short seller of the underlying interest.</w:t>
      </w:r>
    </w:p>
    <w:p w14:paraId="5D4241D9"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The fact that an option writer may not receive immediate notification of an assignment creates special risk for uncovered writers of physical delivery call stock options that are exercisable when the underlying security is the subject of a tender offer, exchange offer or similar event.</w:t>
      </w:r>
    </w:p>
    <w:p w14:paraId="51E50E8D"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An option writer will be assigned an exercised that is made based on news that is published after the established exercise cut-off time and that the writer may not have an effective remedy to compensate for the violation of the options market’s rules.</w:t>
      </w:r>
    </w:p>
    <w:p w14:paraId="5B6C2691"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If a trading market in an option should become unavailable, or if the writers of the option are otherwise unable to engage in closing transactions, the writers of that option would remain obligated until expiration or assignment.</w:t>
      </w:r>
    </w:p>
    <w:p w14:paraId="5F105F5E"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A sudden development may cause a sharp upward or downward spike in the value of interest underlying a capped option. Such a spike could cause the capped option to be automatically exercised.</w:t>
      </w:r>
    </w:p>
    <w:p w14:paraId="1227790F" w14:textId="77777777" w:rsidR="00C051CD" w:rsidRPr="007E4833" w:rsidRDefault="00C051CD" w:rsidP="007E4833">
      <w:pPr>
        <w:pStyle w:val="NormalWeb"/>
        <w:ind w:left="360"/>
        <w:jc w:val="both"/>
        <w:rPr>
          <w:rFonts w:asciiTheme="minorHAnsi" w:hAnsiTheme="minorHAnsi" w:cstheme="minorHAnsi"/>
          <w:sz w:val="22"/>
          <w:szCs w:val="22"/>
        </w:rPr>
      </w:pPr>
      <w:r w:rsidRPr="007E4833">
        <w:rPr>
          <w:rFonts w:asciiTheme="minorHAnsi" w:hAnsiTheme="minorHAnsi" w:cstheme="minorHAnsi"/>
          <w:sz w:val="22"/>
          <w:szCs w:val="22"/>
        </w:rPr>
        <w:t>Here are some additional resources for your consideration:</w:t>
      </w:r>
    </w:p>
    <w:tbl>
      <w:tblPr>
        <w:tblStyle w:val="LightShading-Accent1"/>
        <w:tblpPr w:leftFromText="180" w:rightFromText="180" w:vertAnchor="text" w:tblpX="450" w:tblpY="1"/>
        <w:tblOverlap w:val="never"/>
        <w:tblW w:w="9198" w:type="dxa"/>
        <w:tblLook w:val="04A0" w:firstRow="1" w:lastRow="0" w:firstColumn="1" w:lastColumn="0" w:noHBand="0" w:noVBand="1"/>
      </w:tblPr>
      <w:tblGrid>
        <w:gridCol w:w="3438"/>
        <w:gridCol w:w="5760"/>
      </w:tblGrid>
      <w:tr w:rsidR="00C051CD" w:rsidRPr="007E4833" w14:paraId="00D11F24" w14:textId="77777777" w:rsidTr="007E0680">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438" w:type="dxa"/>
            <w:hideMark/>
          </w:tcPr>
          <w:p w14:paraId="56BD1FA9" w14:textId="77777777" w:rsidR="00C051CD" w:rsidRPr="007E4833" w:rsidRDefault="00C051CD" w:rsidP="007E4833">
            <w:pPr>
              <w:jc w:val="both"/>
              <w:rPr>
                <w:rFonts w:eastAsia="Times New Roman" w:cstheme="minorHAnsi"/>
                <w:color w:val="212529"/>
              </w:rPr>
            </w:pPr>
            <w:r w:rsidRPr="007E4833">
              <w:rPr>
                <w:rFonts w:eastAsia="Times New Roman" w:cstheme="minorHAnsi"/>
                <w:color w:val="212529"/>
              </w:rPr>
              <w:t>Title</w:t>
            </w:r>
          </w:p>
        </w:tc>
        <w:tc>
          <w:tcPr>
            <w:tcW w:w="5760" w:type="dxa"/>
            <w:hideMark/>
          </w:tcPr>
          <w:p w14:paraId="307482F8" w14:textId="77777777" w:rsidR="00C051CD" w:rsidRPr="007E4833" w:rsidRDefault="00C051CD" w:rsidP="007E4833">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E4833">
              <w:rPr>
                <w:rFonts w:cstheme="minorHAnsi"/>
              </w:rPr>
              <w:t>Web Address</w:t>
            </w:r>
          </w:p>
        </w:tc>
      </w:tr>
      <w:tr w:rsidR="00C051CD" w:rsidRPr="007E4833" w14:paraId="471E7178" w14:textId="77777777" w:rsidTr="00C051CD">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nil"/>
            </w:tcBorders>
            <w:hideMark/>
          </w:tcPr>
          <w:p w14:paraId="71A460A5" w14:textId="77777777" w:rsidR="00C051CD" w:rsidRPr="007E4833" w:rsidRDefault="00C051CD" w:rsidP="007E4833">
            <w:pPr>
              <w:jc w:val="both"/>
              <w:rPr>
                <w:rFonts w:eastAsia="Times New Roman" w:cstheme="minorHAnsi"/>
                <w:color w:val="212529"/>
              </w:rPr>
            </w:pPr>
            <w:r w:rsidRPr="007E4833">
              <w:rPr>
                <w:rFonts w:eastAsia="Times New Roman" w:cstheme="minorHAnsi"/>
                <w:color w:val="212529"/>
              </w:rPr>
              <w:t>Options A-Z: The Basics to the Greeks</w:t>
            </w:r>
          </w:p>
        </w:tc>
        <w:tc>
          <w:tcPr>
            <w:tcW w:w="5760" w:type="dxa"/>
            <w:tcBorders>
              <w:top w:val="nil"/>
              <w:bottom w:val="nil"/>
            </w:tcBorders>
            <w:hideMark/>
          </w:tcPr>
          <w:p w14:paraId="4A1C9F77" w14:textId="77777777" w:rsidR="00C051CD" w:rsidRPr="007E4833" w:rsidRDefault="00C051CD"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r w:rsidRPr="007E4833">
              <w:rPr>
                <w:rFonts w:cstheme="minorHAnsi"/>
              </w:rPr>
              <w:t>https://www.finra.org/investors/insights/options-z-basics-greeks</w:t>
            </w:r>
          </w:p>
        </w:tc>
      </w:tr>
      <w:tr w:rsidR="00C051CD" w:rsidRPr="007E4833" w14:paraId="45570468" w14:textId="77777777" w:rsidTr="00C051CD">
        <w:trPr>
          <w:trHeight w:val="1700"/>
        </w:trPr>
        <w:tc>
          <w:tcPr>
            <w:cnfStyle w:val="001000000000" w:firstRow="0" w:lastRow="0" w:firstColumn="1" w:lastColumn="0" w:oddVBand="0" w:evenVBand="0" w:oddHBand="0" w:evenHBand="0" w:firstRowFirstColumn="0" w:firstRowLastColumn="0" w:lastRowFirstColumn="0" w:lastRowLastColumn="0"/>
            <w:tcW w:w="3438" w:type="dxa"/>
            <w:tcBorders>
              <w:top w:val="nil"/>
              <w:left w:val="nil"/>
              <w:bottom w:val="nil"/>
              <w:right w:val="nil"/>
            </w:tcBorders>
            <w:hideMark/>
          </w:tcPr>
          <w:p w14:paraId="75F3EF3E" w14:textId="77777777" w:rsidR="00C051CD" w:rsidRPr="007E4833" w:rsidRDefault="00C051CD" w:rsidP="007E4833">
            <w:pPr>
              <w:jc w:val="both"/>
              <w:rPr>
                <w:rFonts w:eastAsia="Times New Roman" w:cstheme="minorHAnsi"/>
                <w:color w:val="212529"/>
              </w:rPr>
            </w:pPr>
            <w:r w:rsidRPr="007E4833">
              <w:rPr>
                <w:rFonts w:eastAsia="Times New Roman" w:cstheme="minorHAnsi"/>
                <w:color w:val="212529"/>
              </w:rPr>
              <w:t>The Characteristics and Risks of Standardized Options</w:t>
            </w:r>
          </w:p>
        </w:tc>
        <w:tc>
          <w:tcPr>
            <w:tcW w:w="5760" w:type="dxa"/>
            <w:tcBorders>
              <w:top w:val="nil"/>
              <w:left w:val="nil"/>
              <w:bottom w:val="nil"/>
              <w:right w:val="nil"/>
            </w:tcBorders>
            <w:hideMark/>
          </w:tcPr>
          <w:p w14:paraId="2A2E17E2" w14:textId="77777777" w:rsidR="00C051CD" w:rsidRPr="007E4833" w:rsidRDefault="00C051CD"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r w:rsidRPr="007E4833">
              <w:rPr>
                <w:rFonts w:cstheme="minorHAnsi"/>
              </w:rPr>
              <w:t>https://www.theocc.com/about/publications/character-risks.jsp</w:t>
            </w:r>
          </w:p>
        </w:tc>
      </w:tr>
      <w:tr w:rsidR="00C051CD" w:rsidRPr="007E4833" w14:paraId="207B1AF9" w14:textId="77777777" w:rsidTr="00C051CD">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8" w:space="0" w:color="4472C4" w:themeColor="accent1"/>
            </w:tcBorders>
            <w:hideMark/>
          </w:tcPr>
          <w:p w14:paraId="3650D250" w14:textId="77777777" w:rsidR="00C051CD" w:rsidRPr="007E4833" w:rsidRDefault="00C051CD" w:rsidP="007E4833">
            <w:pPr>
              <w:jc w:val="both"/>
              <w:rPr>
                <w:rFonts w:eastAsia="Times New Roman" w:cstheme="minorHAnsi"/>
                <w:color w:val="212529"/>
              </w:rPr>
            </w:pPr>
            <w:r w:rsidRPr="007E4833">
              <w:rPr>
                <w:rFonts w:eastAsia="Times New Roman" w:cstheme="minorHAnsi"/>
                <w:color w:val="212529"/>
              </w:rPr>
              <w:lastRenderedPageBreak/>
              <w:t>Leveraged and Inverse ETFs: Specialized Products with Extra Risks for Buy-and-Hold Investors</w:t>
            </w:r>
          </w:p>
        </w:tc>
        <w:tc>
          <w:tcPr>
            <w:tcW w:w="5760" w:type="dxa"/>
            <w:tcBorders>
              <w:top w:val="nil"/>
              <w:bottom w:val="single" w:sz="8" w:space="0" w:color="4472C4" w:themeColor="accent1"/>
            </w:tcBorders>
            <w:hideMark/>
          </w:tcPr>
          <w:p w14:paraId="55A11A4F" w14:textId="77777777" w:rsidR="00C051CD" w:rsidRPr="007E4833" w:rsidRDefault="00D40186"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44" w:history="1">
              <w:r w:rsidR="00C051CD" w:rsidRPr="007E4833">
                <w:rPr>
                  <w:rStyle w:val="Hyperlink"/>
                  <w:rFonts w:eastAsia="Times New Roman" w:cstheme="minorHAnsi"/>
                </w:rPr>
                <w:t>https://www.finra.org/investors/alerts/leveraged-and-inverse-etfs-specialized-products-extra-risks-buy-and-hold-investors</w:t>
              </w:r>
            </w:hyperlink>
          </w:p>
        </w:tc>
      </w:tr>
    </w:tbl>
    <w:p w14:paraId="0B8DC3B6" w14:textId="77777777" w:rsidR="00C051CD" w:rsidRPr="007E4833" w:rsidRDefault="00C051CD" w:rsidP="007E4833">
      <w:pPr>
        <w:jc w:val="both"/>
        <w:rPr>
          <w:rFonts w:cstheme="minorHAnsi"/>
          <w:sz w:val="20"/>
          <w:szCs w:val="20"/>
        </w:rPr>
      </w:pPr>
    </w:p>
    <w:p w14:paraId="45720D42" w14:textId="406578CE" w:rsidR="00C37921" w:rsidRPr="007E4833" w:rsidRDefault="00C37921" w:rsidP="007E4833">
      <w:pPr>
        <w:pStyle w:val="Heading2"/>
        <w:jc w:val="both"/>
        <w:rPr>
          <w:rFonts w:asciiTheme="minorHAnsi" w:hAnsiTheme="minorHAnsi" w:cstheme="minorHAnsi"/>
        </w:rPr>
      </w:pPr>
      <w:bookmarkStart w:id="16" w:name="_Toc453503819"/>
      <w:r w:rsidRPr="007E4833">
        <w:rPr>
          <w:rFonts w:asciiTheme="minorHAnsi" w:hAnsiTheme="minorHAnsi" w:cstheme="minorHAnsi"/>
        </w:rPr>
        <w:t>Private Placements, Alternative Investments</w:t>
      </w:r>
      <w:bookmarkEnd w:id="16"/>
    </w:p>
    <w:p w14:paraId="17E273CF" w14:textId="1B122089" w:rsidR="00C37921" w:rsidRPr="007E4833" w:rsidRDefault="00C37921" w:rsidP="007E4833">
      <w:pPr>
        <w:pStyle w:val="BodyText"/>
        <w:jc w:val="both"/>
        <w:rPr>
          <w:rFonts w:cstheme="minorHAnsi"/>
        </w:rPr>
      </w:pPr>
      <w:r w:rsidRPr="007E4833">
        <w:rPr>
          <w:rFonts w:cstheme="minorHAnsi"/>
        </w:rPr>
        <w:t xml:space="preserve">Simply stated, a private placement is an offering of a company's securities that is not registered with the </w:t>
      </w:r>
      <w:r w:rsidR="00022954" w:rsidRPr="007E4833">
        <w:rPr>
          <w:rFonts w:cstheme="minorHAnsi"/>
        </w:rPr>
        <w:t>SEC</w:t>
      </w:r>
      <w:r w:rsidRPr="007E4833">
        <w:rPr>
          <w:rFonts w:cstheme="minorHAnsi"/>
        </w:rPr>
        <w:t xml:space="preserve"> and is not offered to the public at large.</w:t>
      </w:r>
    </w:p>
    <w:p w14:paraId="313CCC74" w14:textId="77777777" w:rsidR="00C37921" w:rsidRPr="007E4833" w:rsidRDefault="00C37921" w:rsidP="007E4833">
      <w:pPr>
        <w:pStyle w:val="BodyText"/>
        <w:jc w:val="both"/>
        <w:rPr>
          <w:rFonts w:cstheme="minorHAnsi"/>
        </w:rPr>
      </w:pPr>
    </w:p>
    <w:p w14:paraId="65818E6F" w14:textId="30328C36" w:rsidR="00C37921" w:rsidRPr="007E4833" w:rsidRDefault="00C37921" w:rsidP="007E4833">
      <w:pPr>
        <w:pStyle w:val="BodyText"/>
        <w:jc w:val="both"/>
        <w:rPr>
          <w:rFonts w:cstheme="minorHAnsi"/>
        </w:rPr>
      </w:pPr>
      <w:r w:rsidRPr="007E4833">
        <w:rPr>
          <w:rFonts w:cstheme="minorHAnsi"/>
        </w:rPr>
        <w:t>Many private placements are offered pursuant to</w:t>
      </w:r>
      <w:r w:rsidRPr="007E4833">
        <w:rPr>
          <w:rStyle w:val="apple-converted-space"/>
          <w:rFonts w:cstheme="minorHAnsi"/>
          <w:color w:val="212529"/>
          <w:sz w:val="24"/>
          <w:szCs w:val="24"/>
        </w:rPr>
        <w:t> </w:t>
      </w:r>
      <w:r w:rsidRPr="007E4833">
        <w:rPr>
          <w:rFonts w:cstheme="minorHAnsi"/>
        </w:rPr>
        <w:t xml:space="preserve">Regulation D of the Securities Act of 1933, which specifies the amount of money that can be raised and the type of investor that can be solicited to participate in the offering. See </w:t>
      </w:r>
      <w:hyperlink r:id="rId45" w:history="1">
        <w:r w:rsidRPr="007E4833">
          <w:rPr>
            <w:rStyle w:val="Hyperlink"/>
            <w:rFonts w:cstheme="minorHAnsi"/>
          </w:rPr>
          <w:t>https://www.sec.gov/fast-answers/answers-regdhtm.html</w:t>
        </w:r>
      </w:hyperlink>
      <w:r w:rsidRPr="007E4833">
        <w:rPr>
          <w:rFonts w:cstheme="minorHAnsi"/>
        </w:rPr>
        <w:t xml:space="preserve"> for a plain English explanation.</w:t>
      </w:r>
    </w:p>
    <w:p w14:paraId="525A7910" w14:textId="77777777" w:rsidR="00C37921" w:rsidRPr="007E4833" w:rsidRDefault="00C37921" w:rsidP="007E4833">
      <w:pPr>
        <w:pStyle w:val="BodyText"/>
        <w:jc w:val="both"/>
        <w:rPr>
          <w:rFonts w:cstheme="minorHAnsi"/>
        </w:rPr>
      </w:pPr>
    </w:p>
    <w:p w14:paraId="2307012B" w14:textId="7BD22EEC" w:rsidR="00C37921" w:rsidRPr="007E4833" w:rsidRDefault="00C37921" w:rsidP="007E4833">
      <w:pPr>
        <w:pStyle w:val="BodyText"/>
        <w:jc w:val="both"/>
        <w:rPr>
          <w:rFonts w:cstheme="minorHAnsi"/>
        </w:rPr>
      </w:pPr>
      <w:r w:rsidRPr="007E4833">
        <w:rPr>
          <w:rFonts w:cstheme="minorHAnsi"/>
        </w:rPr>
        <w:t>The offering document, sometimes called a private placement memorandum or term sheet, likely will contain limited information on the company's business (and may not be provided at all, if the offering is sold only to accredited investors). Since many private placement securities are issued by companies that are not required to file financial reports, you may have problems finding out how the company is doing and gauging how your private placement is likely to perform over time.</w:t>
      </w:r>
    </w:p>
    <w:p w14:paraId="2B36EAF1" w14:textId="77777777" w:rsidR="00C37921" w:rsidRPr="007E4833" w:rsidRDefault="00C37921" w:rsidP="007E4833">
      <w:pPr>
        <w:pStyle w:val="BodyText"/>
        <w:jc w:val="both"/>
        <w:rPr>
          <w:rFonts w:cstheme="minorHAnsi"/>
        </w:rPr>
      </w:pPr>
    </w:p>
    <w:p w14:paraId="5B49B0BB" w14:textId="431BD619" w:rsidR="00C37921" w:rsidRPr="007E4833" w:rsidRDefault="00C37921" w:rsidP="007E4833">
      <w:pPr>
        <w:pStyle w:val="BodyText"/>
        <w:jc w:val="both"/>
        <w:rPr>
          <w:rFonts w:cstheme="minorHAnsi"/>
        </w:rPr>
      </w:pPr>
      <w:r w:rsidRPr="007E4833">
        <w:rPr>
          <w:rFonts w:cstheme="minorHAnsi"/>
        </w:rPr>
        <w:t xml:space="preserve">There are limitations to who can invest in a private placement. You generally must be an accredited investor </w:t>
      </w:r>
      <w:r w:rsidR="00022954" w:rsidRPr="007E4833">
        <w:rPr>
          <w:rFonts w:cstheme="minorHAnsi"/>
        </w:rPr>
        <w:t>to invest</w:t>
      </w:r>
      <w:r w:rsidR="009007D5" w:rsidRPr="007E4833">
        <w:rPr>
          <w:rFonts w:cstheme="minorHAnsi"/>
        </w:rPr>
        <w:t xml:space="preserve"> in a private placement, b</w:t>
      </w:r>
      <w:r w:rsidRPr="007E4833">
        <w:rPr>
          <w:rFonts w:cstheme="minorHAnsi"/>
        </w:rPr>
        <w:t xml:space="preserve">ut there are exceptions. </w:t>
      </w:r>
      <w:r w:rsidR="009007D5" w:rsidRPr="007E4833">
        <w:rPr>
          <w:rFonts w:cstheme="minorHAnsi"/>
        </w:rPr>
        <w:t xml:space="preserve">In order to make the investment, you should carefully consider the risk, and understand that the financial professional and </w:t>
      </w:r>
      <w:r w:rsidR="009C2F50" w:rsidRPr="007E4833">
        <w:rPr>
          <w:rFonts w:cstheme="minorHAnsi"/>
        </w:rPr>
        <w:t>BSL</w:t>
      </w:r>
      <w:r w:rsidR="009007D5" w:rsidRPr="007E4833">
        <w:rPr>
          <w:rFonts w:cstheme="minorHAnsi"/>
        </w:rPr>
        <w:t xml:space="preserve"> likely make more commission if you buy the private placement than they would for an alternative investment. </w:t>
      </w:r>
      <w:r w:rsidRPr="007E4833">
        <w:rPr>
          <w:rFonts w:cstheme="minorHAnsi"/>
        </w:rPr>
        <w:t xml:space="preserve">Ask yourself if you can absorb </w:t>
      </w:r>
      <w:r w:rsidR="009007D5" w:rsidRPr="007E4833">
        <w:rPr>
          <w:rFonts w:cstheme="minorHAnsi"/>
        </w:rPr>
        <w:t>a substantial loss, even the entire amount of the investment,</w:t>
      </w:r>
      <w:r w:rsidRPr="007E4833">
        <w:rPr>
          <w:rFonts w:cstheme="minorHAnsi"/>
        </w:rPr>
        <w:t xml:space="preserve"> or </w:t>
      </w:r>
      <w:r w:rsidR="009007D5" w:rsidRPr="007E4833">
        <w:rPr>
          <w:rFonts w:cstheme="minorHAnsi"/>
        </w:rPr>
        <w:t>if you can withstand a long period of time, even indefinitely before you</w:t>
      </w:r>
      <w:r w:rsidRPr="007E4833">
        <w:rPr>
          <w:rFonts w:cstheme="minorHAnsi"/>
        </w:rPr>
        <w:t xml:space="preserve"> money </w:t>
      </w:r>
      <w:r w:rsidR="009007D5" w:rsidRPr="007E4833">
        <w:rPr>
          <w:rFonts w:cstheme="minorHAnsi"/>
        </w:rPr>
        <w:t>is available to you again.</w:t>
      </w:r>
      <w:r w:rsidRPr="007E4833">
        <w:rPr>
          <w:rFonts w:cstheme="minorHAnsi"/>
        </w:rPr>
        <w:t xml:space="preserve"> Keep in mind that private placement securities are considered "restricted" securities and cannot be resold without registration or an exemption from registration – features that make them difficult to sell (illiquid) and may negatively impact the price at which you are able to sell them. In addition, the issuer typically does not have an obligation to provide liquidity to investors by buying the securities back when the investor wants to sell.</w:t>
      </w:r>
    </w:p>
    <w:p w14:paraId="223E3C2C" w14:textId="77777777" w:rsidR="009007D5" w:rsidRPr="007E4833" w:rsidRDefault="009007D5" w:rsidP="007E4833">
      <w:pPr>
        <w:pStyle w:val="BodyText"/>
        <w:jc w:val="both"/>
        <w:rPr>
          <w:rFonts w:cstheme="minorHAnsi"/>
        </w:rPr>
      </w:pPr>
    </w:p>
    <w:p w14:paraId="4897294B" w14:textId="6CA0B2EA" w:rsidR="009007D5" w:rsidRPr="007E4833" w:rsidRDefault="009007D5" w:rsidP="007E4833">
      <w:pPr>
        <w:pStyle w:val="BodyText"/>
        <w:jc w:val="both"/>
        <w:rPr>
          <w:rFonts w:cstheme="minorHAnsi"/>
        </w:rPr>
      </w:pPr>
      <w:r w:rsidRPr="007E4833">
        <w:rPr>
          <w:rFonts w:cstheme="minorHAnsi"/>
        </w:rPr>
        <w:t>Important information regarding a private placement is provided an offering memorandum, sometimes called a PPM.  Read it very carefully – it is your primary source of information.  If you do not understand it, or you are not comfortable with the information – do not invest.</w:t>
      </w:r>
    </w:p>
    <w:p w14:paraId="47ADABB2" w14:textId="77777777" w:rsidR="009007D5" w:rsidRPr="007E4833" w:rsidRDefault="009007D5" w:rsidP="007E4833">
      <w:pPr>
        <w:pStyle w:val="BodyText"/>
        <w:jc w:val="both"/>
        <w:rPr>
          <w:rFonts w:cstheme="minorHAnsi"/>
        </w:rPr>
      </w:pPr>
    </w:p>
    <w:p w14:paraId="6BFCA062" w14:textId="397A900F" w:rsidR="009007D5" w:rsidRPr="007E4833" w:rsidRDefault="009007D5" w:rsidP="007E4833">
      <w:pPr>
        <w:pStyle w:val="BodyText"/>
        <w:jc w:val="both"/>
        <w:rPr>
          <w:rFonts w:eastAsiaTheme="minorHAnsi" w:cstheme="minorHAnsi"/>
        </w:rPr>
      </w:pPr>
      <w:r w:rsidRPr="007E4833">
        <w:rPr>
          <w:rFonts w:cstheme="minorHAnsi"/>
        </w:rPr>
        <w:t>On its website, FINRA offers investors the following tips in the excerpt below about investing in private placements:</w:t>
      </w:r>
    </w:p>
    <w:p w14:paraId="55225A50" w14:textId="77777777" w:rsidR="00C37921" w:rsidRPr="007E4833" w:rsidRDefault="00C37921" w:rsidP="007E4833">
      <w:pPr>
        <w:pStyle w:val="BodyText"/>
        <w:jc w:val="both"/>
        <w:rPr>
          <w:rFonts w:cstheme="minorHAnsi"/>
          <w:color w:val="111111"/>
          <w:sz w:val="26"/>
          <w:szCs w:val="26"/>
        </w:rPr>
      </w:pPr>
    </w:p>
    <w:p w14:paraId="12AA4A07" w14:textId="77777777" w:rsidR="00C37921" w:rsidRPr="007E4833" w:rsidRDefault="00C37921" w:rsidP="007E4833">
      <w:pPr>
        <w:pStyle w:val="BodyText"/>
        <w:numPr>
          <w:ilvl w:val="0"/>
          <w:numId w:val="16"/>
        </w:numPr>
        <w:jc w:val="both"/>
        <w:rPr>
          <w:rFonts w:cstheme="minorHAnsi"/>
          <w:i/>
          <w:color w:val="111111"/>
        </w:rPr>
      </w:pPr>
      <w:r w:rsidRPr="007E4833">
        <w:rPr>
          <w:rFonts w:cstheme="minorHAnsi"/>
          <w:i/>
          <w:color w:val="111111"/>
        </w:rPr>
        <w:t>Ask your broker what information he or she was able to review about the issuing company and this private placement. Expect your broker to be knowledgeable about any risk factors associated with the company's business, such as other competitors in the company's space, or economic risks specific to the company's business. Risk factors might also include risks associated with the issuing company itself, such as a weak balance sheet, use of leverage or a limited operating history. In addition, your broker should also be familiar with the risks and features of the private placement.</w:t>
      </w:r>
    </w:p>
    <w:p w14:paraId="29E6A1F2" w14:textId="77777777" w:rsidR="00C37921" w:rsidRPr="007E4833" w:rsidRDefault="00C37921" w:rsidP="007E4833">
      <w:pPr>
        <w:pStyle w:val="BodyText"/>
        <w:numPr>
          <w:ilvl w:val="0"/>
          <w:numId w:val="16"/>
        </w:numPr>
        <w:jc w:val="both"/>
        <w:rPr>
          <w:rFonts w:cstheme="minorHAnsi"/>
          <w:i/>
          <w:color w:val="111111"/>
        </w:rPr>
      </w:pPr>
      <w:r w:rsidRPr="007E4833">
        <w:rPr>
          <w:rFonts w:cstheme="minorHAnsi"/>
          <w:i/>
          <w:color w:val="111111"/>
        </w:rPr>
        <w:lastRenderedPageBreak/>
        <w:t>Ask your broker how this investment fits in with the mix of other investments you hold. How does it align with your risk profile? Be extremely wary if you receive paperwork to sign about a private placement without having a personalized discussion with your broker about why such an investment is right for you.</w:t>
      </w:r>
    </w:p>
    <w:p w14:paraId="0FDF8B9F" w14:textId="77777777" w:rsidR="00C37921" w:rsidRPr="007E4833" w:rsidRDefault="00C37921" w:rsidP="007E4833">
      <w:pPr>
        <w:pStyle w:val="BodyText"/>
        <w:numPr>
          <w:ilvl w:val="0"/>
          <w:numId w:val="16"/>
        </w:numPr>
        <w:jc w:val="both"/>
        <w:rPr>
          <w:rFonts w:cstheme="minorHAnsi"/>
          <w:i/>
          <w:color w:val="111111"/>
        </w:rPr>
      </w:pPr>
      <w:r w:rsidRPr="007E4833">
        <w:rPr>
          <w:rFonts w:cstheme="minorHAnsi"/>
          <w:i/>
          <w:color w:val="111111"/>
        </w:rPr>
        <w:t>If you are provided with a private placement memorandum or other offering document, carefully review it. Make sure that statements by your broker or in other sale materials are consistent with it. The offering document—and any sales materials associated with the private placement—should be detailed and balanced. If you don't understand them, don't invest. Ask for a copy of the offering document, if one has not been provided to you.</w:t>
      </w:r>
    </w:p>
    <w:p w14:paraId="0DFC09EA" w14:textId="77777777" w:rsidR="00C37921" w:rsidRPr="007E4833" w:rsidRDefault="00C37921" w:rsidP="007E4833">
      <w:pPr>
        <w:pStyle w:val="BodyText"/>
        <w:numPr>
          <w:ilvl w:val="0"/>
          <w:numId w:val="16"/>
        </w:numPr>
        <w:jc w:val="both"/>
        <w:rPr>
          <w:rFonts w:cstheme="minorHAnsi"/>
          <w:i/>
          <w:color w:val="111111"/>
        </w:rPr>
      </w:pPr>
      <w:r w:rsidRPr="007E4833">
        <w:rPr>
          <w:rFonts w:cstheme="minorHAnsi"/>
          <w:i/>
          <w:color w:val="111111"/>
        </w:rPr>
        <w:t>Read the issuing company's </w:t>
      </w:r>
      <w:hyperlink r:id="rId46" w:history="1">
        <w:r w:rsidRPr="007E4833">
          <w:rPr>
            <w:rStyle w:val="Hyperlink"/>
            <w:rFonts w:cstheme="minorHAnsi"/>
            <w:i/>
          </w:rPr>
          <w:t>Form D</w:t>
        </w:r>
      </w:hyperlink>
      <w:r w:rsidRPr="007E4833">
        <w:rPr>
          <w:rFonts w:cstheme="minorHAnsi"/>
          <w:i/>
          <w:color w:val="111111"/>
        </w:rPr>
        <w:t>, if available on the SEC's </w:t>
      </w:r>
      <w:hyperlink r:id="rId47" w:history="1">
        <w:r w:rsidRPr="007E4833">
          <w:rPr>
            <w:rStyle w:val="Hyperlink"/>
            <w:rFonts w:cstheme="minorHAnsi"/>
            <w:i/>
          </w:rPr>
          <w:t>EDGAR database</w:t>
        </w:r>
      </w:hyperlink>
      <w:r w:rsidRPr="007E4833">
        <w:rPr>
          <w:rFonts w:cstheme="minorHAnsi"/>
          <w:i/>
          <w:color w:val="111111"/>
        </w:rPr>
        <w:t>. While it contains only limited financial information, it identifies the company's executives and describes other matters that can be valuable. Also contact your </w:t>
      </w:r>
      <w:hyperlink r:id="rId48" w:history="1">
        <w:r w:rsidRPr="007E4833">
          <w:rPr>
            <w:rStyle w:val="Hyperlink"/>
            <w:rFonts w:cstheme="minorHAnsi"/>
            <w:i/>
          </w:rPr>
          <w:t>state securities regulator</w:t>
        </w:r>
      </w:hyperlink>
      <w:r w:rsidRPr="007E4833">
        <w:rPr>
          <w:rFonts w:cstheme="minorHAnsi"/>
          <w:i/>
          <w:color w:val="111111"/>
        </w:rPr>
        <w:t> for information.</w:t>
      </w:r>
    </w:p>
    <w:p w14:paraId="1914FD7F" w14:textId="77777777" w:rsidR="00C37921" w:rsidRPr="007E4833" w:rsidRDefault="00C37921" w:rsidP="007E4833">
      <w:pPr>
        <w:pStyle w:val="BodyText"/>
        <w:numPr>
          <w:ilvl w:val="0"/>
          <w:numId w:val="16"/>
        </w:numPr>
        <w:jc w:val="both"/>
        <w:rPr>
          <w:rFonts w:cstheme="minorHAnsi"/>
          <w:i/>
          <w:color w:val="111111"/>
        </w:rPr>
      </w:pPr>
      <w:r w:rsidRPr="007E4833">
        <w:rPr>
          <w:rFonts w:cstheme="minorHAnsi"/>
          <w:i/>
          <w:color w:val="111111"/>
        </w:rPr>
        <w:t>For real estate private placements, ask about the schedule and source of investor distributions. Specifically, find out if the company's income is able to cover those distributions, or if distributions may be made from proceeds from sales of additional shares or borrowings.</w:t>
      </w:r>
    </w:p>
    <w:p w14:paraId="554DC069" w14:textId="77777777" w:rsidR="00C37921" w:rsidRPr="007E4833" w:rsidRDefault="00C37921" w:rsidP="007E4833">
      <w:pPr>
        <w:pStyle w:val="BodyText"/>
        <w:numPr>
          <w:ilvl w:val="0"/>
          <w:numId w:val="16"/>
        </w:numPr>
        <w:jc w:val="both"/>
        <w:rPr>
          <w:rFonts w:cstheme="minorHAnsi"/>
          <w:i/>
          <w:color w:val="111111"/>
        </w:rPr>
      </w:pPr>
      <w:r w:rsidRPr="007E4833">
        <w:rPr>
          <w:rFonts w:cstheme="minorHAnsi"/>
          <w:i/>
          <w:color w:val="111111"/>
        </w:rPr>
        <w:t>For oil and gas private placements, ask what you can expect to receive in return for your investment, and the circumstances that would result in a loss of some or all of your investment. Ask if the issuer has entered into any operational or services agreements with affiliates, since this can add additional costs that may dilute your return. Also ask about the issuer's past performance in prior offerings, and review the map of the proposed well locations for drilling activity, whether successful or not, in the vicinity. Lastly, ask how—and when—you will be informed of the status of the drilling efforts and whether or not audited financials of the issuer or the specific offering will be provided.</w:t>
      </w:r>
    </w:p>
    <w:p w14:paraId="22DB5CBB" w14:textId="77777777" w:rsidR="00C37921" w:rsidRPr="007E4833" w:rsidRDefault="00C37921" w:rsidP="007E4833">
      <w:pPr>
        <w:pStyle w:val="BodyText"/>
        <w:numPr>
          <w:ilvl w:val="0"/>
          <w:numId w:val="16"/>
        </w:numPr>
        <w:jc w:val="both"/>
        <w:rPr>
          <w:rFonts w:cstheme="minorHAnsi"/>
          <w:i/>
          <w:color w:val="111111"/>
        </w:rPr>
      </w:pPr>
      <w:r w:rsidRPr="007E4833">
        <w:rPr>
          <w:rFonts w:cstheme="minorHAnsi"/>
          <w:i/>
          <w:color w:val="111111"/>
        </w:rPr>
        <w:t>Ask whether the private placement is being sold on a conditional or contingency basis. These types of private placements are designed to be concluded only when certain conditions are met, such as a specific dollar amount invested by a given date. If so, there should be specific information regarding whether the proceeds from sales of securities received prior to the contingency being satisfied may be accessed by the issuer. If any specified conditions or contingencies are not met, the offering document should clearly state that investors will be refunded their investment amount. If there are no contingencies, be wary. An offering that may proceed without a minimum level of investments or other conditions could be a red flag, as the issuer can use the proceeds immediately, regardless of the amount raised from other investors.</w:t>
      </w:r>
    </w:p>
    <w:p w14:paraId="54812A94" w14:textId="77777777" w:rsidR="00C37921" w:rsidRPr="007E4833" w:rsidRDefault="00C37921" w:rsidP="007E4833">
      <w:pPr>
        <w:pStyle w:val="BodyText"/>
        <w:numPr>
          <w:ilvl w:val="0"/>
          <w:numId w:val="16"/>
        </w:numPr>
        <w:jc w:val="both"/>
        <w:rPr>
          <w:rFonts w:cstheme="minorHAnsi"/>
          <w:i/>
          <w:color w:val="111111"/>
        </w:rPr>
      </w:pPr>
      <w:r w:rsidRPr="007E4833">
        <w:rPr>
          <w:rFonts w:cstheme="minorHAnsi"/>
          <w:i/>
          <w:color w:val="111111"/>
        </w:rPr>
        <w:t>Be extremely wary of private placements you hear about through spam emails or cold calling. They are very often fraudulent. A legitimate broker must be properly licensed, and his or her firm must be registered with FINRA, the SEC and a state securities regulator—depending on the type of business the firm conducts. To check the background of a broker or investment adviser, use FINRA's </w:t>
      </w:r>
      <w:proofErr w:type="spellStart"/>
      <w:r w:rsidR="009C2F50" w:rsidRPr="007E4833">
        <w:fldChar w:fldCharType="begin"/>
      </w:r>
      <w:r w:rsidR="009C2F50" w:rsidRPr="007E4833">
        <w:rPr>
          <w:rFonts w:cstheme="minorHAnsi"/>
        </w:rPr>
        <w:instrText xml:space="preserve"> HYPERLINK "https://www.finra.org/investors/finra-brokercheck" </w:instrText>
      </w:r>
      <w:r w:rsidR="009C2F50" w:rsidRPr="007E4833">
        <w:fldChar w:fldCharType="separate"/>
      </w:r>
      <w:r w:rsidRPr="007E4833">
        <w:rPr>
          <w:rStyle w:val="Hyperlink"/>
          <w:rFonts w:cstheme="minorHAnsi"/>
          <w:i/>
        </w:rPr>
        <w:t>BrokerCheck</w:t>
      </w:r>
      <w:proofErr w:type="spellEnd"/>
      <w:r w:rsidR="009C2F50" w:rsidRPr="007E4833">
        <w:rPr>
          <w:rStyle w:val="Hyperlink"/>
          <w:rFonts w:cstheme="minorHAnsi"/>
          <w:i/>
        </w:rPr>
        <w:fldChar w:fldCharType="end"/>
      </w:r>
      <w:r w:rsidRPr="007E4833">
        <w:rPr>
          <w:rFonts w:cstheme="minorHAnsi"/>
          <w:i/>
          <w:color w:val="111111"/>
        </w:rPr>
        <w:t>. (Note: officers, directors and other persons associated with an issuer may sell securities of that issuer without being licensed, so long as they are not compensated for the transaction and meet other conditions of </w:t>
      </w:r>
      <w:hyperlink r:id="rId49" w:history="1">
        <w:r w:rsidRPr="007E4833">
          <w:rPr>
            <w:rStyle w:val="Hyperlink"/>
            <w:rFonts w:cstheme="minorHAnsi"/>
            <w:i/>
          </w:rPr>
          <w:t>SEC Rule 3a4-1</w:t>
        </w:r>
      </w:hyperlink>
      <w:r w:rsidRPr="007E4833">
        <w:rPr>
          <w:rFonts w:cstheme="minorHAnsi"/>
          <w:i/>
          <w:color w:val="111111"/>
        </w:rPr>
        <w:t>.) If you suspect fraud or believe you are being treated unfairly by a securities professional or firm, </w:t>
      </w:r>
      <w:hyperlink r:id="rId50" w:history="1">
        <w:r w:rsidRPr="007E4833">
          <w:rPr>
            <w:rStyle w:val="Hyperlink"/>
            <w:rFonts w:cstheme="minorHAnsi"/>
            <w:i/>
          </w:rPr>
          <w:t>File a Complaint</w:t>
        </w:r>
      </w:hyperlink>
      <w:r w:rsidRPr="007E4833">
        <w:rPr>
          <w:rFonts w:cstheme="minorHAnsi"/>
          <w:i/>
          <w:color w:val="111111"/>
        </w:rPr>
        <w:t> with FINRA.</w:t>
      </w:r>
    </w:p>
    <w:p w14:paraId="7A4B55E4" w14:textId="77777777" w:rsidR="00C37921" w:rsidRPr="007E4833" w:rsidRDefault="00D40186" w:rsidP="007E4833">
      <w:pPr>
        <w:pStyle w:val="BodyText"/>
        <w:numPr>
          <w:ilvl w:val="0"/>
          <w:numId w:val="16"/>
        </w:numPr>
        <w:jc w:val="both"/>
        <w:rPr>
          <w:rFonts w:cstheme="minorHAnsi"/>
          <w:i/>
          <w:color w:val="111111"/>
        </w:rPr>
      </w:pPr>
      <w:hyperlink r:id="rId51" w:tgtFrame="_blank" w:history="1">
        <w:r w:rsidR="00C37921" w:rsidRPr="007E4833">
          <w:rPr>
            <w:rStyle w:val="Hyperlink"/>
            <w:rFonts w:cstheme="minorHAnsi"/>
            <w:i/>
          </w:rPr>
          <w:t>Ask and check</w:t>
        </w:r>
      </w:hyperlink>
      <w:r w:rsidR="00C37921" w:rsidRPr="007E4833">
        <w:rPr>
          <w:rFonts w:cstheme="minorHAnsi"/>
          <w:i/>
          <w:color w:val="111111"/>
        </w:rPr>
        <w:t>. Ask if the investment professional selling the private placement is registered with FINRA or the SEC. Then check to see if this is in fact the case.</w:t>
      </w:r>
    </w:p>
    <w:p w14:paraId="0E20DBF2" w14:textId="77777777" w:rsidR="00C37921" w:rsidRPr="007E4833" w:rsidRDefault="00C37921" w:rsidP="007E4833">
      <w:pPr>
        <w:pStyle w:val="Heading2"/>
        <w:jc w:val="both"/>
        <w:rPr>
          <w:rFonts w:asciiTheme="minorHAnsi" w:hAnsiTheme="minorHAnsi" w:cstheme="minorHAnsi"/>
        </w:rPr>
      </w:pPr>
      <w:bookmarkStart w:id="17" w:name="_Toc453503820"/>
      <w:r w:rsidRPr="007E4833">
        <w:rPr>
          <w:rFonts w:asciiTheme="minorHAnsi" w:hAnsiTheme="minorHAnsi" w:cstheme="minorHAnsi"/>
        </w:rPr>
        <w:t>Retirement Accounts, Rollovers</w:t>
      </w:r>
      <w:bookmarkEnd w:id="17"/>
    </w:p>
    <w:p w14:paraId="1DA28172" w14:textId="77777777" w:rsidR="00C37921" w:rsidRPr="007E4833" w:rsidRDefault="00C37921" w:rsidP="007E4833">
      <w:pPr>
        <w:jc w:val="both"/>
        <w:rPr>
          <w:rFonts w:cstheme="minorHAnsi"/>
          <w:b/>
          <w:bCs/>
          <w:sz w:val="20"/>
          <w:szCs w:val="20"/>
        </w:rPr>
      </w:pPr>
    </w:p>
    <w:p w14:paraId="7E4CC488" w14:textId="1DF15B92" w:rsidR="00C37921" w:rsidRPr="007E4833" w:rsidRDefault="00C37921" w:rsidP="007E4833">
      <w:pPr>
        <w:jc w:val="both"/>
        <w:rPr>
          <w:rFonts w:cstheme="minorHAnsi"/>
          <w:sz w:val="22"/>
          <w:szCs w:val="22"/>
        </w:rPr>
      </w:pPr>
      <w:r w:rsidRPr="007E4833">
        <w:rPr>
          <w:rFonts w:cstheme="minorHAnsi"/>
          <w:sz w:val="22"/>
          <w:szCs w:val="22"/>
        </w:rPr>
        <w:t xml:space="preserve">If a customer decides to roll assets out of a retirement plan, such as a 401(k) plan, and into an individual retirement account (IRA), we have a financial incentive to recommend that the customer invest those </w:t>
      </w:r>
      <w:r w:rsidRPr="007E4833">
        <w:rPr>
          <w:rFonts w:cstheme="minorHAnsi"/>
          <w:sz w:val="22"/>
          <w:szCs w:val="22"/>
        </w:rPr>
        <w:lastRenderedPageBreak/>
        <w:t xml:space="preserve">assets through </w:t>
      </w:r>
      <w:r w:rsidR="009C2F50" w:rsidRPr="007E4833">
        <w:rPr>
          <w:rFonts w:cstheme="minorHAnsi"/>
          <w:sz w:val="22"/>
          <w:szCs w:val="22"/>
        </w:rPr>
        <w:t>BSL</w:t>
      </w:r>
      <w:r w:rsidRPr="007E4833">
        <w:rPr>
          <w:rFonts w:cstheme="minorHAnsi"/>
          <w:sz w:val="22"/>
          <w:szCs w:val="22"/>
        </w:rPr>
        <w:t xml:space="preserve">, because we will be paid on those assets, for example, through commissions, fees, and/or third-party payments. </w:t>
      </w:r>
    </w:p>
    <w:p w14:paraId="621C989B" w14:textId="77777777" w:rsidR="00C37921" w:rsidRPr="007E4833" w:rsidRDefault="00C37921" w:rsidP="007E4833">
      <w:pPr>
        <w:jc w:val="both"/>
        <w:rPr>
          <w:rFonts w:cstheme="minorHAnsi"/>
          <w:sz w:val="22"/>
          <w:szCs w:val="22"/>
        </w:rPr>
      </w:pPr>
    </w:p>
    <w:p w14:paraId="7E174E3E" w14:textId="77777777" w:rsidR="00C37921" w:rsidRPr="007E4833" w:rsidRDefault="00C37921" w:rsidP="007E4833">
      <w:pPr>
        <w:jc w:val="both"/>
        <w:rPr>
          <w:rFonts w:cstheme="minorHAnsi"/>
          <w:sz w:val="22"/>
          <w:szCs w:val="22"/>
          <w:lang w:bidi="en-US"/>
        </w:rPr>
      </w:pPr>
      <w:r w:rsidRPr="007E4833">
        <w:rPr>
          <w:rFonts w:cstheme="minorHAnsi"/>
          <w:sz w:val="22"/>
          <w:szCs w:val="22"/>
          <w:lang w:bidi="en-US"/>
        </w:rPr>
        <w:t xml:space="preserve">Please be advised of your options, and what a rollover means to you. </w:t>
      </w:r>
    </w:p>
    <w:p w14:paraId="5F219BDB" w14:textId="77777777" w:rsidR="00C37921" w:rsidRPr="007E4833" w:rsidRDefault="00C37921" w:rsidP="007E4833">
      <w:pPr>
        <w:jc w:val="both"/>
        <w:rPr>
          <w:rFonts w:cstheme="minorHAnsi"/>
          <w:sz w:val="22"/>
          <w:szCs w:val="22"/>
          <w:lang w:bidi="en-US"/>
        </w:rPr>
      </w:pPr>
    </w:p>
    <w:p w14:paraId="2764F9CD" w14:textId="77777777" w:rsidR="00C37921" w:rsidRPr="007E4833" w:rsidRDefault="00C37921" w:rsidP="007E4833">
      <w:pPr>
        <w:jc w:val="both"/>
        <w:rPr>
          <w:rFonts w:cstheme="minorHAnsi"/>
          <w:sz w:val="22"/>
          <w:szCs w:val="22"/>
          <w:lang w:bidi="en-US"/>
        </w:rPr>
      </w:pPr>
      <w:r w:rsidRPr="007E4833">
        <w:rPr>
          <w:rFonts w:cstheme="minorHAnsi"/>
          <w:sz w:val="22"/>
          <w:szCs w:val="22"/>
          <w:lang w:bidi="en-US"/>
        </w:rPr>
        <w:t>If you leave your employer you typically have four options (and may engage in a combination of these options):</w:t>
      </w:r>
    </w:p>
    <w:p w14:paraId="67CFEDC2" w14:textId="77777777" w:rsidR="00C37921" w:rsidRPr="007E4833" w:rsidRDefault="00C37921" w:rsidP="007E4833">
      <w:pPr>
        <w:jc w:val="both"/>
        <w:rPr>
          <w:rFonts w:cstheme="minorHAnsi"/>
          <w:sz w:val="22"/>
          <w:szCs w:val="22"/>
          <w:lang w:bidi="en-US"/>
        </w:rPr>
      </w:pPr>
      <w:r w:rsidRPr="007E4833">
        <w:rPr>
          <w:rFonts w:cstheme="minorHAnsi"/>
          <w:sz w:val="22"/>
          <w:szCs w:val="22"/>
          <w:lang w:bidi="en-US"/>
        </w:rPr>
        <w:t>•   leave the money in the former employer's plan, if permitted;</w:t>
      </w:r>
    </w:p>
    <w:p w14:paraId="2EE125D6" w14:textId="77777777" w:rsidR="00C37921" w:rsidRPr="007E4833" w:rsidRDefault="00C37921" w:rsidP="007E4833">
      <w:pPr>
        <w:jc w:val="both"/>
        <w:rPr>
          <w:rFonts w:cstheme="minorHAnsi"/>
          <w:sz w:val="22"/>
          <w:szCs w:val="22"/>
          <w:lang w:bidi="en-US"/>
        </w:rPr>
      </w:pPr>
      <w:r w:rsidRPr="007E4833">
        <w:rPr>
          <w:rFonts w:cstheme="minorHAnsi"/>
          <w:sz w:val="22"/>
          <w:szCs w:val="22"/>
          <w:lang w:bidi="en-US"/>
        </w:rPr>
        <w:t>•   roll over the assets to your new employer's plan, if one is available and rollovers are permitted;</w:t>
      </w:r>
    </w:p>
    <w:p w14:paraId="0E754DF9" w14:textId="77777777" w:rsidR="00C37921" w:rsidRPr="007E4833" w:rsidRDefault="00C37921" w:rsidP="007E4833">
      <w:pPr>
        <w:jc w:val="both"/>
        <w:rPr>
          <w:rFonts w:cstheme="minorHAnsi"/>
          <w:sz w:val="22"/>
          <w:szCs w:val="22"/>
          <w:lang w:bidi="en-US"/>
        </w:rPr>
      </w:pPr>
      <w:r w:rsidRPr="007E4833">
        <w:rPr>
          <w:rFonts w:cstheme="minorHAnsi"/>
          <w:sz w:val="22"/>
          <w:szCs w:val="22"/>
          <w:lang w:bidi="en-US"/>
        </w:rPr>
        <w:t>•   roll over to an Individual Retirement Account; or</w:t>
      </w:r>
    </w:p>
    <w:p w14:paraId="453D0B05" w14:textId="77777777" w:rsidR="00C37921" w:rsidRPr="007E4833" w:rsidRDefault="00C37921" w:rsidP="007E4833">
      <w:pPr>
        <w:jc w:val="both"/>
        <w:rPr>
          <w:rFonts w:cstheme="minorHAnsi"/>
          <w:sz w:val="22"/>
          <w:szCs w:val="22"/>
          <w:lang w:bidi="en-US"/>
        </w:rPr>
      </w:pPr>
      <w:r w:rsidRPr="007E4833">
        <w:rPr>
          <w:rFonts w:cstheme="minorHAnsi"/>
          <w:sz w:val="22"/>
          <w:szCs w:val="22"/>
          <w:lang w:bidi="en-US"/>
        </w:rPr>
        <w:t>•   cash out the account value.</w:t>
      </w:r>
    </w:p>
    <w:p w14:paraId="51DC962F" w14:textId="77777777" w:rsidR="00C37921" w:rsidRPr="007E4833" w:rsidRDefault="00C37921" w:rsidP="007E4833">
      <w:pPr>
        <w:jc w:val="both"/>
        <w:rPr>
          <w:rFonts w:cstheme="minorHAnsi"/>
          <w:sz w:val="22"/>
          <w:szCs w:val="22"/>
          <w:lang w:bidi="en-US"/>
        </w:rPr>
      </w:pPr>
    </w:p>
    <w:p w14:paraId="167A5AF9" w14:textId="77777777" w:rsidR="00C37921" w:rsidRPr="007E4833" w:rsidRDefault="00C37921" w:rsidP="007E4833">
      <w:pPr>
        <w:jc w:val="both"/>
        <w:rPr>
          <w:rFonts w:cstheme="minorHAnsi"/>
          <w:sz w:val="22"/>
          <w:szCs w:val="22"/>
        </w:rPr>
      </w:pPr>
      <w:r w:rsidRPr="007E4833">
        <w:rPr>
          <w:rFonts w:cstheme="minorHAnsi"/>
          <w:sz w:val="22"/>
          <w:szCs w:val="22"/>
          <w:lang w:bidi="en-US"/>
        </w:rPr>
        <w:t xml:space="preserve">Each choice offers advantages and disadvantages, depending on your desired investment options and services, fees and expenses, withdrawal options, required minimum distributions, tax treatment, and your unique financial needs and retirement plans. The complexity of these choices may lead you to seek assistance one of our financial professionals.  The options that we offer you will result in revenue to our financial professionals and our firm.  </w:t>
      </w:r>
      <w:r w:rsidRPr="007E4833">
        <w:rPr>
          <w:rFonts w:cstheme="minorHAnsi"/>
          <w:sz w:val="22"/>
          <w:szCs w:val="22"/>
        </w:rPr>
        <w:t xml:space="preserve">You should be aware that such fees and commissions likely will be higher than those the customer pays through their plan, and there can be custodial and other maintenance fees. As securities held in a retirement plan generally cannot be transferred to an IRA, commissions and sales charges may be charged when liquidating such securities prior to the transfer, in addition to commissions and sales charges previously paid on transactions in the plan.  </w:t>
      </w:r>
    </w:p>
    <w:p w14:paraId="6F00CA63" w14:textId="77777777" w:rsidR="00C37921" w:rsidRPr="007E4833" w:rsidRDefault="00C37921" w:rsidP="007E4833">
      <w:pPr>
        <w:jc w:val="both"/>
        <w:rPr>
          <w:rFonts w:cstheme="minorHAnsi"/>
          <w:sz w:val="22"/>
          <w:szCs w:val="22"/>
        </w:rPr>
      </w:pPr>
      <w:r w:rsidRPr="007E4833">
        <w:rPr>
          <w:rFonts w:cstheme="minorHAnsi"/>
          <w:sz w:val="22"/>
          <w:szCs w:val="22"/>
          <w:lang w:bidi="en-US"/>
        </w:rPr>
        <w:t>Therefore, we have an incentive to recommend that you “roll-over” your employer plan to us.  Please consider each of your options before making a decision.</w:t>
      </w:r>
    </w:p>
    <w:p w14:paraId="051CC4C2" w14:textId="77777777" w:rsidR="00C37921" w:rsidRPr="007E4833" w:rsidRDefault="00C37921" w:rsidP="007E4833">
      <w:pPr>
        <w:jc w:val="both"/>
        <w:rPr>
          <w:rFonts w:cstheme="minorHAnsi"/>
          <w:sz w:val="20"/>
          <w:szCs w:val="20"/>
        </w:rPr>
      </w:pPr>
    </w:p>
    <w:p w14:paraId="3BB4E87F" w14:textId="77777777" w:rsidR="00C37921" w:rsidRPr="007E4833" w:rsidRDefault="00C37921" w:rsidP="007E4833">
      <w:pPr>
        <w:pStyle w:val="NormalWeb"/>
        <w:jc w:val="both"/>
        <w:rPr>
          <w:rFonts w:asciiTheme="minorHAnsi" w:hAnsiTheme="minorHAnsi" w:cstheme="minorHAnsi"/>
          <w:sz w:val="22"/>
          <w:szCs w:val="22"/>
        </w:rPr>
      </w:pPr>
      <w:r w:rsidRPr="007E4833">
        <w:rPr>
          <w:rFonts w:asciiTheme="minorHAnsi" w:hAnsiTheme="minorHAnsi" w:cstheme="minorHAnsi"/>
          <w:sz w:val="22"/>
          <w:szCs w:val="22"/>
        </w:rPr>
        <w:t>Here are some additional resources for your consideration:</w:t>
      </w:r>
    </w:p>
    <w:tbl>
      <w:tblPr>
        <w:tblStyle w:val="LightShading-Accent1"/>
        <w:tblpPr w:leftFromText="180" w:rightFromText="180" w:vertAnchor="text" w:tblpX="450" w:tblpY="1"/>
        <w:tblOverlap w:val="never"/>
        <w:tblW w:w="9198" w:type="dxa"/>
        <w:tblLook w:val="04A0" w:firstRow="1" w:lastRow="0" w:firstColumn="1" w:lastColumn="0" w:noHBand="0" w:noVBand="1"/>
      </w:tblPr>
      <w:tblGrid>
        <w:gridCol w:w="3438"/>
        <w:gridCol w:w="5760"/>
      </w:tblGrid>
      <w:tr w:rsidR="00C37921" w:rsidRPr="007E4833" w14:paraId="3FC185ED" w14:textId="77777777" w:rsidTr="00C37921">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438" w:type="dxa"/>
            <w:hideMark/>
          </w:tcPr>
          <w:p w14:paraId="26481573" w14:textId="77777777" w:rsidR="00C37921" w:rsidRPr="007E4833" w:rsidRDefault="00C37921" w:rsidP="007E4833">
            <w:pPr>
              <w:jc w:val="both"/>
              <w:rPr>
                <w:rFonts w:eastAsia="Times New Roman" w:cstheme="minorHAnsi"/>
                <w:b w:val="0"/>
                <w:bCs w:val="0"/>
                <w:color w:val="212529"/>
              </w:rPr>
            </w:pPr>
            <w:r w:rsidRPr="007E4833">
              <w:rPr>
                <w:rFonts w:eastAsia="Times New Roman" w:cstheme="minorHAnsi"/>
                <w:color w:val="212529"/>
              </w:rPr>
              <w:t>Title</w:t>
            </w:r>
          </w:p>
          <w:p w14:paraId="366B90EE" w14:textId="77777777" w:rsidR="00C37921" w:rsidRPr="007E4833" w:rsidRDefault="00C37921" w:rsidP="007E4833">
            <w:pPr>
              <w:tabs>
                <w:tab w:val="left" w:pos="947"/>
              </w:tabs>
              <w:jc w:val="both"/>
              <w:rPr>
                <w:rFonts w:eastAsia="Times New Roman" w:cstheme="minorHAnsi"/>
              </w:rPr>
            </w:pPr>
            <w:r w:rsidRPr="007E4833">
              <w:rPr>
                <w:rFonts w:eastAsia="Times New Roman" w:cstheme="minorHAnsi"/>
              </w:rPr>
              <w:tab/>
            </w:r>
          </w:p>
        </w:tc>
        <w:tc>
          <w:tcPr>
            <w:tcW w:w="5760" w:type="dxa"/>
            <w:hideMark/>
          </w:tcPr>
          <w:p w14:paraId="57A3BE1F" w14:textId="77777777" w:rsidR="00C37921" w:rsidRPr="007E4833" w:rsidRDefault="00C37921" w:rsidP="007E4833">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E4833">
              <w:rPr>
                <w:rFonts w:cstheme="minorHAnsi"/>
              </w:rPr>
              <w:t>Web Address</w:t>
            </w:r>
          </w:p>
        </w:tc>
      </w:tr>
      <w:tr w:rsidR="00C37921" w:rsidRPr="007E4833" w14:paraId="55A69756" w14:textId="77777777" w:rsidTr="00C37921">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3438" w:type="dxa"/>
            <w:tcBorders>
              <w:top w:val="nil"/>
              <w:bottom w:val="nil"/>
            </w:tcBorders>
            <w:vAlign w:val="bottom"/>
          </w:tcPr>
          <w:p w14:paraId="7E3BA6B1" w14:textId="77777777" w:rsidR="00C37921" w:rsidRPr="007E4833" w:rsidRDefault="00C37921" w:rsidP="007E4833">
            <w:pPr>
              <w:jc w:val="both"/>
              <w:rPr>
                <w:rFonts w:eastAsia="Times New Roman" w:cstheme="minorHAnsi"/>
                <w:color w:val="212529"/>
              </w:rPr>
            </w:pPr>
            <w:r w:rsidRPr="007E4833">
              <w:rPr>
                <w:rFonts w:eastAsia="Times New Roman" w:cstheme="minorHAnsi"/>
                <w:color w:val="212529"/>
              </w:rPr>
              <w:t>The IRA Rollover: 10 Tips to Making a Sound Decision</w:t>
            </w:r>
          </w:p>
        </w:tc>
        <w:tc>
          <w:tcPr>
            <w:tcW w:w="5760" w:type="dxa"/>
            <w:tcBorders>
              <w:top w:val="nil"/>
              <w:bottom w:val="nil"/>
            </w:tcBorders>
            <w:vAlign w:val="bottom"/>
          </w:tcPr>
          <w:p w14:paraId="5176CD16" w14:textId="77777777" w:rsidR="00C37921" w:rsidRPr="007E4833" w:rsidRDefault="00D40186"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52" w:history="1">
              <w:r w:rsidR="00C37921" w:rsidRPr="007E4833">
                <w:rPr>
                  <w:rStyle w:val="Hyperlink"/>
                  <w:rFonts w:eastAsia="Times New Roman" w:cstheme="minorHAnsi"/>
                </w:rPr>
                <w:t>https://www.finra.org/investors/alerts/ira-rollover-10-tips-making-sound-decision</w:t>
              </w:r>
            </w:hyperlink>
          </w:p>
        </w:tc>
      </w:tr>
      <w:tr w:rsidR="00C37921" w:rsidRPr="007E4833" w14:paraId="4A44698F" w14:textId="77777777" w:rsidTr="00C37921">
        <w:trPr>
          <w:trHeight w:val="117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nil"/>
            </w:tcBorders>
            <w:vAlign w:val="bottom"/>
          </w:tcPr>
          <w:p w14:paraId="7308AFFB" w14:textId="77777777" w:rsidR="00C37921" w:rsidRPr="007E4833" w:rsidRDefault="00C37921" w:rsidP="007E4833">
            <w:pPr>
              <w:jc w:val="both"/>
              <w:rPr>
                <w:rFonts w:eastAsia="Times New Roman" w:cstheme="minorHAnsi"/>
                <w:color w:val="212529"/>
              </w:rPr>
            </w:pPr>
            <w:r w:rsidRPr="007E4833">
              <w:rPr>
                <w:rFonts w:eastAsia="Times New Roman" w:cstheme="minorHAnsi"/>
                <w:color w:val="212529"/>
              </w:rPr>
              <w:t>Why Leave Money on the Table—Make the Most of Your Employer's 401(k) Match</w:t>
            </w:r>
          </w:p>
        </w:tc>
        <w:tc>
          <w:tcPr>
            <w:tcW w:w="5760" w:type="dxa"/>
            <w:tcBorders>
              <w:top w:val="nil"/>
              <w:bottom w:val="nil"/>
            </w:tcBorders>
            <w:vAlign w:val="bottom"/>
          </w:tcPr>
          <w:p w14:paraId="2F54260C" w14:textId="77777777" w:rsidR="00C37921" w:rsidRPr="007E4833" w:rsidRDefault="00D40186"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53" w:history="1">
              <w:r w:rsidR="00C37921" w:rsidRPr="007E4833">
                <w:rPr>
                  <w:rStyle w:val="Hyperlink"/>
                  <w:rFonts w:eastAsia="Times New Roman" w:cstheme="minorHAnsi"/>
                </w:rPr>
                <w:t>https://www.finra.org/investors/alerts/why-leave-money-table-make-most-your-employers-401k-match</w:t>
              </w:r>
            </w:hyperlink>
          </w:p>
        </w:tc>
      </w:tr>
      <w:tr w:rsidR="00C37921" w:rsidRPr="007E4833" w14:paraId="19FFDBCE" w14:textId="77777777" w:rsidTr="00C37921">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3438" w:type="dxa"/>
            <w:tcBorders>
              <w:top w:val="nil"/>
              <w:bottom w:val="nil"/>
            </w:tcBorders>
            <w:vAlign w:val="bottom"/>
          </w:tcPr>
          <w:p w14:paraId="3D926C90" w14:textId="77777777" w:rsidR="00C37921" w:rsidRPr="007E4833" w:rsidRDefault="00C37921" w:rsidP="007E4833">
            <w:pPr>
              <w:jc w:val="both"/>
              <w:rPr>
                <w:rFonts w:eastAsia="Times New Roman" w:cstheme="minorHAnsi"/>
                <w:color w:val="212529"/>
              </w:rPr>
            </w:pPr>
            <w:r w:rsidRPr="007E4833">
              <w:rPr>
                <w:rFonts w:eastAsia="Times New Roman" w:cstheme="minorHAnsi"/>
                <w:color w:val="212529"/>
              </w:rPr>
              <w:t>401(k) Debit Cards—Think Before You Swipe</w:t>
            </w:r>
          </w:p>
        </w:tc>
        <w:tc>
          <w:tcPr>
            <w:tcW w:w="5760" w:type="dxa"/>
            <w:tcBorders>
              <w:top w:val="nil"/>
              <w:bottom w:val="nil"/>
            </w:tcBorders>
            <w:vAlign w:val="bottom"/>
          </w:tcPr>
          <w:p w14:paraId="355BB372" w14:textId="77777777" w:rsidR="00C37921" w:rsidRPr="007E4833" w:rsidRDefault="00D40186" w:rsidP="007E4833">
            <w:pPr>
              <w:jc w:val="both"/>
              <w:cnfStyle w:val="000000100000" w:firstRow="0" w:lastRow="0" w:firstColumn="0" w:lastColumn="0" w:oddVBand="0" w:evenVBand="0" w:oddHBand="1" w:evenHBand="0" w:firstRowFirstColumn="0" w:firstRowLastColumn="0" w:lastRowFirstColumn="0" w:lastRowLastColumn="0"/>
              <w:rPr>
                <w:rFonts w:cstheme="minorHAnsi"/>
              </w:rPr>
            </w:pPr>
            <w:hyperlink r:id="rId54" w:history="1">
              <w:r w:rsidR="00C37921" w:rsidRPr="007E4833">
                <w:rPr>
                  <w:rStyle w:val="Hyperlink"/>
                  <w:rFonts w:eastAsia="Times New Roman" w:cstheme="minorHAnsi"/>
                </w:rPr>
                <w:t>https://www.finra.org/investors/alerts/401k-debit-cards-think-you-swipe</w:t>
              </w:r>
            </w:hyperlink>
          </w:p>
        </w:tc>
      </w:tr>
      <w:tr w:rsidR="00C37921" w:rsidRPr="007E4833" w14:paraId="47E83B4B" w14:textId="77777777" w:rsidTr="00C37921">
        <w:trPr>
          <w:trHeight w:val="1017"/>
        </w:trPr>
        <w:tc>
          <w:tcPr>
            <w:cnfStyle w:val="001000000000" w:firstRow="0" w:lastRow="0" w:firstColumn="1" w:lastColumn="0" w:oddVBand="0" w:evenVBand="0" w:oddHBand="0" w:evenHBand="0" w:firstRowFirstColumn="0" w:firstRowLastColumn="0" w:lastRowFirstColumn="0" w:lastRowLastColumn="0"/>
            <w:tcW w:w="3438" w:type="dxa"/>
            <w:tcBorders>
              <w:top w:val="nil"/>
              <w:bottom w:val="nil"/>
            </w:tcBorders>
            <w:vAlign w:val="bottom"/>
          </w:tcPr>
          <w:p w14:paraId="07A03AF1" w14:textId="77777777" w:rsidR="00C37921" w:rsidRPr="007E4833" w:rsidRDefault="00C37921" w:rsidP="007E4833">
            <w:pPr>
              <w:jc w:val="both"/>
              <w:rPr>
                <w:rFonts w:eastAsia="Times New Roman" w:cstheme="minorHAnsi"/>
                <w:color w:val="212529"/>
              </w:rPr>
            </w:pPr>
            <w:r w:rsidRPr="007E4833">
              <w:rPr>
                <w:rFonts w:eastAsia="Times New Roman" w:cstheme="minorHAnsi"/>
                <w:color w:val="212529"/>
              </w:rPr>
              <w:t>Putting Too Much Stock in Your Company—A 401(k) Problem</w:t>
            </w:r>
          </w:p>
        </w:tc>
        <w:tc>
          <w:tcPr>
            <w:tcW w:w="5760" w:type="dxa"/>
            <w:tcBorders>
              <w:top w:val="nil"/>
              <w:bottom w:val="nil"/>
            </w:tcBorders>
            <w:vAlign w:val="bottom"/>
          </w:tcPr>
          <w:p w14:paraId="2901DF82" w14:textId="77777777" w:rsidR="00C37921" w:rsidRPr="007E4833" w:rsidRDefault="00D40186" w:rsidP="007E4833">
            <w:pPr>
              <w:jc w:val="both"/>
              <w:cnfStyle w:val="000000000000" w:firstRow="0" w:lastRow="0" w:firstColumn="0" w:lastColumn="0" w:oddVBand="0" w:evenVBand="0" w:oddHBand="0" w:evenHBand="0" w:firstRowFirstColumn="0" w:firstRowLastColumn="0" w:lastRowFirstColumn="0" w:lastRowLastColumn="0"/>
              <w:rPr>
                <w:rFonts w:cstheme="minorHAnsi"/>
              </w:rPr>
            </w:pPr>
            <w:hyperlink r:id="rId55" w:history="1">
              <w:r w:rsidR="00C37921" w:rsidRPr="007E4833">
                <w:rPr>
                  <w:rStyle w:val="Hyperlink"/>
                  <w:rFonts w:eastAsia="Times New Roman" w:cstheme="minorHAnsi"/>
                </w:rPr>
                <w:t>https://www.finra.org/investors/alerts/putting-too-much-stock-your-company-401k-problem</w:t>
              </w:r>
            </w:hyperlink>
          </w:p>
        </w:tc>
      </w:tr>
      <w:tr w:rsidR="00C37921" w:rsidRPr="007E4833" w14:paraId="320EEE12" w14:textId="77777777" w:rsidTr="00C37921">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nil"/>
            </w:tcBorders>
            <w:vAlign w:val="bottom"/>
          </w:tcPr>
          <w:p w14:paraId="33378783" w14:textId="77777777" w:rsidR="00C37921" w:rsidRPr="007E4833" w:rsidRDefault="00C37921" w:rsidP="007E4833">
            <w:pPr>
              <w:jc w:val="both"/>
              <w:rPr>
                <w:rFonts w:eastAsia="Times New Roman" w:cstheme="minorHAnsi"/>
                <w:color w:val="212529"/>
              </w:rPr>
            </w:pPr>
            <w:r w:rsidRPr="007E4833">
              <w:rPr>
                <w:rFonts w:eastAsia="Times New Roman" w:cstheme="minorHAnsi"/>
                <w:color w:val="212529"/>
              </w:rPr>
              <w:lastRenderedPageBreak/>
              <w:t>Look Before You Leave: Don't Be Misled By Early Retirement Investment Pitches That Promise Too Much</w:t>
            </w:r>
          </w:p>
        </w:tc>
        <w:tc>
          <w:tcPr>
            <w:tcW w:w="5760" w:type="dxa"/>
            <w:tcBorders>
              <w:top w:val="nil"/>
              <w:bottom w:val="nil"/>
            </w:tcBorders>
            <w:vAlign w:val="bottom"/>
          </w:tcPr>
          <w:p w14:paraId="74566934" w14:textId="77777777" w:rsidR="00C37921" w:rsidRPr="007E4833" w:rsidRDefault="00D40186" w:rsidP="007E4833">
            <w:pPr>
              <w:jc w:val="both"/>
              <w:cnfStyle w:val="000000100000" w:firstRow="0" w:lastRow="0" w:firstColumn="0" w:lastColumn="0" w:oddVBand="0" w:evenVBand="0" w:oddHBand="1" w:evenHBand="0" w:firstRowFirstColumn="0" w:firstRowLastColumn="0" w:lastRowFirstColumn="0" w:lastRowLastColumn="0"/>
              <w:rPr>
                <w:rFonts w:cstheme="minorHAnsi"/>
              </w:rPr>
            </w:pPr>
            <w:hyperlink r:id="rId56" w:history="1">
              <w:r w:rsidR="00C37921" w:rsidRPr="007E4833">
                <w:rPr>
                  <w:rStyle w:val="Hyperlink"/>
                  <w:rFonts w:eastAsia="Times New Roman" w:cstheme="minorHAnsi"/>
                </w:rPr>
                <w:t>https://www.finra.org/investors/alerts/look-you-leave-dont-be-misled-early-retirement-investment-pitches-promise-too-much</w:t>
              </w:r>
            </w:hyperlink>
          </w:p>
        </w:tc>
      </w:tr>
      <w:tr w:rsidR="00C37921" w:rsidRPr="007E4833" w14:paraId="26C63699" w14:textId="77777777" w:rsidTr="00C37921">
        <w:trPr>
          <w:trHeight w:val="108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8" w:space="0" w:color="4472C4" w:themeColor="accent1"/>
            </w:tcBorders>
            <w:vAlign w:val="bottom"/>
          </w:tcPr>
          <w:p w14:paraId="01CFFDE3" w14:textId="77777777" w:rsidR="00C37921" w:rsidRPr="007E4833" w:rsidRDefault="00C37921" w:rsidP="007E4833">
            <w:pPr>
              <w:jc w:val="both"/>
              <w:rPr>
                <w:rFonts w:eastAsia="Times New Roman" w:cstheme="minorHAnsi"/>
                <w:color w:val="212529"/>
              </w:rPr>
            </w:pPr>
            <w:r w:rsidRPr="007E4833">
              <w:rPr>
                <w:rFonts w:eastAsia="Times New Roman" w:cstheme="minorHAnsi"/>
                <w:color w:val="212529"/>
              </w:rPr>
              <w:t>Think Twice Before Cashing Out Your 401(k)</w:t>
            </w:r>
          </w:p>
        </w:tc>
        <w:tc>
          <w:tcPr>
            <w:tcW w:w="5760" w:type="dxa"/>
            <w:tcBorders>
              <w:top w:val="nil"/>
              <w:bottom w:val="single" w:sz="8" w:space="0" w:color="4472C4" w:themeColor="accent1"/>
            </w:tcBorders>
            <w:vAlign w:val="bottom"/>
          </w:tcPr>
          <w:p w14:paraId="234B9CAC" w14:textId="77777777" w:rsidR="00C37921" w:rsidRPr="007E4833" w:rsidRDefault="00D40186" w:rsidP="007E4833">
            <w:pPr>
              <w:jc w:val="both"/>
              <w:cnfStyle w:val="000000000000" w:firstRow="0" w:lastRow="0" w:firstColumn="0" w:lastColumn="0" w:oddVBand="0" w:evenVBand="0" w:oddHBand="0" w:evenHBand="0" w:firstRowFirstColumn="0" w:firstRowLastColumn="0" w:lastRowFirstColumn="0" w:lastRowLastColumn="0"/>
              <w:rPr>
                <w:rFonts w:cstheme="minorHAnsi"/>
              </w:rPr>
            </w:pPr>
            <w:hyperlink r:id="rId57" w:history="1">
              <w:r w:rsidR="00C37921" w:rsidRPr="007E4833">
                <w:rPr>
                  <w:rStyle w:val="Hyperlink"/>
                  <w:rFonts w:eastAsia="Times New Roman" w:cstheme="minorHAnsi"/>
                </w:rPr>
                <w:t>https://www.finra.org/investors/alerts/think-twice-cashing-out-your-401k</w:t>
              </w:r>
            </w:hyperlink>
          </w:p>
        </w:tc>
      </w:tr>
    </w:tbl>
    <w:p w14:paraId="1D295A56" w14:textId="77777777" w:rsidR="00C37921" w:rsidRPr="007E4833" w:rsidRDefault="00C37921" w:rsidP="007E4833">
      <w:pPr>
        <w:jc w:val="both"/>
        <w:rPr>
          <w:rFonts w:cstheme="minorHAnsi"/>
          <w:sz w:val="20"/>
          <w:szCs w:val="20"/>
        </w:rPr>
      </w:pPr>
    </w:p>
    <w:p w14:paraId="68E525B5" w14:textId="0532A331" w:rsidR="00C63430" w:rsidRPr="007E4833" w:rsidRDefault="007E0680" w:rsidP="007E4833">
      <w:pPr>
        <w:pStyle w:val="Heading2"/>
        <w:jc w:val="both"/>
        <w:rPr>
          <w:rFonts w:asciiTheme="minorHAnsi" w:hAnsiTheme="minorHAnsi" w:cstheme="minorHAnsi"/>
        </w:rPr>
      </w:pPr>
      <w:bookmarkStart w:id="18" w:name="_Toc453503821"/>
      <w:r w:rsidRPr="007E4833">
        <w:rPr>
          <w:rFonts w:asciiTheme="minorHAnsi" w:hAnsiTheme="minorHAnsi" w:cstheme="minorHAnsi"/>
        </w:rPr>
        <w:t>SIPC Coverage Summary</w:t>
      </w:r>
      <w:bookmarkEnd w:id="18"/>
    </w:p>
    <w:p w14:paraId="261C743D" w14:textId="77777777" w:rsidR="00C63430" w:rsidRPr="007E4833" w:rsidRDefault="00C63430" w:rsidP="007E4833">
      <w:pPr>
        <w:pStyle w:val="BodyText"/>
        <w:jc w:val="both"/>
        <w:rPr>
          <w:rFonts w:cstheme="minorHAnsi"/>
        </w:rPr>
      </w:pPr>
      <w:r w:rsidRPr="007E4833">
        <w:rPr>
          <w:rFonts w:cstheme="minorHAnsi"/>
        </w:rPr>
        <w:t>Please review the following disclosures regarding insurance coverage relevant to your investments:</w:t>
      </w:r>
    </w:p>
    <w:p w14:paraId="2CA41796" w14:textId="77777777" w:rsidR="00C63430" w:rsidRPr="007E4833" w:rsidRDefault="00C63430" w:rsidP="007E4833">
      <w:pPr>
        <w:pStyle w:val="Heading3"/>
        <w:spacing w:before="3"/>
        <w:jc w:val="both"/>
        <w:rPr>
          <w:rFonts w:asciiTheme="minorHAnsi" w:hAnsiTheme="minorHAnsi" w:cstheme="minorHAnsi"/>
          <w:sz w:val="22"/>
          <w:szCs w:val="22"/>
        </w:rPr>
      </w:pPr>
    </w:p>
    <w:p w14:paraId="0D91C013" w14:textId="77777777" w:rsidR="00C63430" w:rsidRPr="007E4833" w:rsidRDefault="00C63430" w:rsidP="007E4833">
      <w:pPr>
        <w:pStyle w:val="ListParagraph"/>
        <w:widowControl w:val="0"/>
        <w:numPr>
          <w:ilvl w:val="0"/>
          <w:numId w:val="17"/>
        </w:numPr>
        <w:autoSpaceDE w:val="0"/>
        <w:autoSpaceDN w:val="0"/>
        <w:jc w:val="both"/>
        <w:rPr>
          <w:rFonts w:cstheme="minorHAnsi"/>
          <w:sz w:val="22"/>
          <w:szCs w:val="22"/>
        </w:rPr>
      </w:pPr>
      <w:r w:rsidRPr="007E4833">
        <w:rPr>
          <w:rFonts w:cstheme="minorHAnsi"/>
          <w:sz w:val="22"/>
          <w:szCs w:val="22"/>
        </w:rPr>
        <w:t>Covered Investments: Registered securities and cash.</w:t>
      </w:r>
    </w:p>
    <w:p w14:paraId="2B82596B" w14:textId="77777777" w:rsidR="00C63430" w:rsidRPr="007E4833" w:rsidRDefault="00C63430" w:rsidP="007E4833">
      <w:pPr>
        <w:pStyle w:val="ListParagraph"/>
        <w:widowControl w:val="0"/>
        <w:numPr>
          <w:ilvl w:val="0"/>
          <w:numId w:val="17"/>
        </w:numPr>
        <w:autoSpaceDE w:val="0"/>
        <w:autoSpaceDN w:val="0"/>
        <w:jc w:val="both"/>
        <w:rPr>
          <w:rFonts w:cstheme="minorHAnsi"/>
          <w:sz w:val="22"/>
          <w:szCs w:val="22"/>
        </w:rPr>
      </w:pPr>
      <w:r w:rsidRPr="007E4833">
        <w:rPr>
          <w:rFonts w:cstheme="minorHAnsi"/>
          <w:sz w:val="22"/>
          <w:szCs w:val="22"/>
        </w:rPr>
        <w:t>Available Coverage: Generally protects SEC-registered securities to maximum of $500,000, including $250,000 coverage for claims for cash.</w:t>
      </w:r>
    </w:p>
    <w:p w14:paraId="06C11B03" w14:textId="77777777" w:rsidR="00C63430" w:rsidRPr="007E4833" w:rsidRDefault="00C63430" w:rsidP="007E4833">
      <w:pPr>
        <w:pStyle w:val="Heading3"/>
        <w:spacing w:before="3"/>
        <w:jc w:val="both"/>
        <w:rPr>
          <w:rFonts w:asciiTheme="minorHAnsi" w:hAnsiTheme="minorHAnsi" w:cstheme="minorHAnsi"/>
          <w:sz w:val="22"/>
          <w:szCs w:val="22"/>
        </w:rPr>
      </w:pPr>
    </w:p>
    <w:p w14:paraId="393604C7" w14:textId="6D4F656B" w:rsidR="00C63430" w:rsidRPr="007E4833" w:rsidRDefault="00C63430" w:rsidP="007E4833">
      <w:pPr>
        <w:pStyle w:val="BodyText"/>
        <w:jc w:val="both"/>
        <w:rPr>
          <w:rFonts w:cstheme="minorHAnsi"/>
        </w:rPr>
      </w:pPr>
      <w:r w:rsidRPr="007E4833">
        <w:rPr>
          <w:rFonts w:cstheme="minorHAnsi"/>
        </w:rPr>
        <w:t>The Firm is a member of the Securities Investor Protection</w:t>
      </w:r>
      <w:r w:rsidRPr="007E4833">
        <w:rPr>
          <w:rFonts w:cstheme="minorHAnsi"/>
          <w:spacing w:val="-26"/>
        </w:rPr>
        <w:t xml:space="preserve"> </w:t>
      </w:r>
      <w:r w:rsidRPr="007E4833">
        <w:rPr>
          <w:rFonts w:cstheme="minorHAnsi"/>
        </w:rPr>
        <w:t>Corporation (SIPC). SIPC provides coverage, as set forth above, in the unlikely event that we fail</w:t>
      </w:r>
      <w:r w:rsidRPr="007E4833">
        <w:rPr>
          <w:rFonts w:cstheme="minorHAnsi"/>
          <w:spacing w:val="-12"/>
        </w:rPr>
        <w:t xml:space="preserve"> </w:t>
      </w:r>
      <w:r w:rsidRPr="007E4833">
        <w:rPr>
          <w:rFonts w:cstheme="minorHAnsi"/>
        </w:rPr>
        <w:t>financially.</w:t>
      </w:r>
      <w:r w:rsidRPr="007E4833">
        <w:rPr>
          <w:rFonts w:cstheme="minorHAnsi"/>
          <w:spacing w:val="-11"/>
        </w:rPr>
        <w:t xml:space="preserve"> </w:t>
      </w:r>
      <w:r w:rsidRPr="007E4833">
        <w:rPr>
          <w:rFonts w:cstheme="minorHAnsi"/>
        </w:rPr>
        <w:t>Money</w:t>
      </w:r>
      <w:r w:rsidRPr="007E4833">
        <w:rPr>
          <w:rFonts w:cstheme="minorHAnsi"/>
          <w:spacing w:val="-12"/>
        </w:rPr>
        <w:t xml:space="preserve"> </w:t>
      </w:r>
      <w:r w:rsidRPr="007E4833">
        <w:rPr>
          <w:rFonts w:cstheme="minorHAnsi"/>
        </w:rPr>
        <w:t>market</w:t>
      </w:r>
      <w:r w:rsidRPr="007E4833">
        <w:rPr>
          <w:rFonts w:cstheme="minorHAnsi"/>
          <w:spacing w:val="-11"/>
        </w:rPr>
        <w:t xml:space="preserve"> </w:t>
      </w:r>
      <w:r w:rsidRPr="007E4833">
        <w:rPr>
          <w:rFonts w:cstheme="minorHAnsi"/>
        </w:rPr>
        <w:t>fund</w:t>
      </w:r>
      <w:r w:rsidRPr="007E4833">
        <w:rPr>
          <w:rFonts w:cstheme="minorHAnsi"/>
          <w:spacing w:val="-10"/>
        </w:rPr>
        <w:t xml:space="preserve"> </w:t>
      </w:r>
      <w:r w:rsidRPr="007E4833">
        <w:rPr>
          <w:rFonts w:cstheme="minorHAnsi"/>
        </w:rPr>
        <w:t xml:space="preserve">shares are not considered cash for this purpose; they are securities. An explanatory brochure is available upon request at </w:t>
      </w:r>
      <w:hyperlink r:id="rId58" w:history="1">
        <w:r w:rsidRPr="007E4833">
          <w:rPr>
            <w:rStyle w:val="Hyperlink"/>
            <w:rFonts w:cstheme="minorHAnsi"/>
          </w:rPr>
          <w:t>www.sipc.org</w:t>
        </w:r>
      </w:hyperlink>
      <w:r w:rsidRPr="007E4833">
        <w:rPr>
          <w:rFonts w:cstheme="minorHAnsi"/>
        </w:rPr>
        <w:t xml:space="preserve"> SIPC asset protection limits apply, in the aggregate, to all securities accounts that you hold with us in a particular capacity. SIPC coverage does not insure against the loss of your investment. SIPC coverage does</w:t>
      </w:r>
      <w:r w:rsidRPr="007E4833">
        <w:rPr>
          <w:rFonts w:cstheme="minorHAnsi"/>
          <w:spacing w:val="-11"/>
        </w:rPr>
        <w:t xml:space="preserve"> </w:t>
      </w:r>
      <w:r w:rsidRPr="007E4833">
        <w:rPr>
          <w:rFonts w:cstheme="minorHAnsi"/>
        </w:rPr>
        <w:t>not</w:t>
      </w:r>
      <w:r w:rsidRPr="007E4833">
        <w:rPr>
          <w:rFonts w:cstheme="minorHAnsi"/>
          <w:spacing w:val="-10"/>
        </w:rPr>
        <w:t xml:space="preserve"> </w:t>
      </w:r>
      <w:r w:rsidRPr="007E4833">
        <w:rPr>
          <w:rFonts w:cstheme="minorHAnsi"/>
        </w:rPr>
        <w:t>ensure</w:t>
      </w:r>
      <w:r w:rsidRPr="007E4833">
        <w:rPr>
          <w:rFonts w:cstheme="minorHAnsi"/>
          <w:spacing w:val="-9"/>
        </w:rPr>
        <w:t xml:space="preserve"> </w:t>
      </w:r>
      <w:r w:rsidRPr="007E4833">
        <w:rPr>
          <w:rFonts w:cstheme="minorHAnsi"/>
        </w:rPr>
        <w:t>the</w:t>
      </w:r>
      <w:r w:rsidRPr="007E4833">
        <w:rPr>
          <w:rFonts w:cstheme="minorHAnsi"/>
          <w:spacing w:val="-10"/>
        </w:rPr>
        <w:t xml:space="preserve"> </w:t>
      </w:r>
      <w:r w:rsidRPr="007E4833">
        <w:rPr>
          <w:rFonts w:cstheme="minorHAnsi"/>
        </w:rPr>
        <w:t>quality</w:t>
      </w:r>
      <w:r w:rsidRPr="007E4833">
        <w:rPr>
          <w:rFonts w:cstheme="minorHAnsi"/>
          <w:spacing w:val="-13"/>
        </w:rPr>
        <w:t xml:space="preserve"> </w:t>
      </w:r>
      <w:r w:rsidRPr="007E4833">
        <w:rPr>
          <w:rFonts w:cstheme="minorHAnsi"/>
        </w:rPr>
        <w:t>of</w:t>
      </w:r>
      <w:r w:rsidRPr="007E4833">
        <w:rPr>
          <w:rFonts w:cstheme="minorHAnsi"/>
          <w:spacing w:val="-12"/>
        </w:rPr>
        <w:t xml:space="preserve"> </w:t>
      </w:r>
      <w:r w:rsidRPr="007E4833">
        <w:rPr>
          <w:rFonts w:cstheme="minorHAnsi"/>
        </w:rPr>
        <w:t>investments, protect against a decline or fluctuations</w:t>
      </w:r>
      <w:r w:rsidRPr="007E4833">
        <w:rPr>
          <w:rFonts w:cstheme="minorHAnsi"/>
          <w:spacing w:val="6"/>
        </w:rPr>
        <w:t xml:space="preserve"> </w:t>
      </w:r>
      <w:r w:rsidRPr="007E4833">
        <w:rPr>
          <w:rFonts w:cstheme="minorHAnsi"/>
          <w:spacing w:val="-6"/>
        </w:rPr>
        <w:t xml:space="preserve">in </w:t>
      </w:r>
      <w:r w:rsidRPr="007E4833">
        <w:rPr>
          <w:rFonts w:cstheme="minorHAnsi"/>
        </w:rPr>
        <w:t>the value of your investment, or cover securities not held by us. Account protection applies when an SIPC-member firm fails financially and is unable to meet obligations</w:t>
      </w:r>
      <w:r w:rsidRPr="007E4833">
        <w:rPr>
          <w:rFonts w:cstheme="minorHAnsi"/>
          <w:spacing w:val="-8"/>
        </w:rPr>
        <w:t xml:space="preserve"> </w:t>
      </w:r>
      <w:r w:rsidRPr="007E4833">
        <w:rPr>
          <w:rFonts w:cstheme="minorHAnsi"/>
        </w:rPr>
        <w:t>to</w:t>
      </w:r>
      <w:r w:rsidRPr="007E4833">
        <w:rPr>
          <w:rFonts w:cstheme="minorHAnsi"/>
          <w:spacing w:val="-7"/>
        </w:rPr>
        <w:t xml:space="preserve"> </w:t>
      </w:r>
      <w:r w:rsidRPr="007E4833">
        <w:rPr>
          <w:rFonts w:cstheme="minorHAnsi"/>
        </w:rPr>
        <w:t>securities</w:t>
      </w:r>
      <w:r w:rsidRPr="007E4833">
        <w:rPr>
          <w:rFonts w:cstheme="minorHAnsi"/>
          <w:spacing w:val="-10"/>
        </w:rPr>
        <w:t xml:space="preserve"> </w:t>
      </w:r>
      <w:r w:rsidRPr="007E4833">
        <w:rPr>
          <w:rFonts w:cstheme="minorHAnsi"/>
        </w:rPr>
        <w:t>clients,</w:t>
      </w:r>
      <w:r w:rsidRPr="007E4833">
        <w:rPr>
          <w:rFonts w:cstheme="minorHAnsi"/>
          <w:spacing w:val="-8"/>
        </w:rPr>
        <w:t xml:space="preserve"> </w:t>
      </w:r>
      <w:r w:rsidRPr="007E4833">
        <w:rPr>
          <w:rFonts w:cstheme="minorHAnsi"/>
        </w:rPr>
        <w:t>but</w:t>
      </w:r>
      <w:r w:rsidRPr="007E4833">
        <w:rPr>
          <w:rFonts w:cstheme="minorHAnsi"/>
          <w:spacing w:val="-8"/>
        </w:rPr>
        <w:t xml:space="preserve"> </w:t>
      </w:r>
      <w:r w:rsidRPr="007E4833">
        <w:rPr>
          <w:rFonts w:cstheme="minorHAnsi"/>
        </w:rPr>
        <w:t>it</w:t>
      </w:r>
      <w:r w:rsidRPr="007E4833">
        <w:rPr>
          <w:rFonts w:cstheme="minorHAnsi"/>
          <w:spacing w:val="-10"/>
        </w:rPr>
        <w:t xml:space="preserve"> </w:t>
      </w:r>
      <w:r w:rsidRPr="007E4833">
        <w:rPr>
          <w:rFonts w:cstheme="minorHAnsi"/>
        </w:rPr>
        <w:t>does not protect against market</w:t>
      </w:r>
      <w:r w:rsidRPr="007E4833">
        <w:rPr>
          <w:rFonts w:cstheme="minorHAnsi"/>
          <w:spacing w:val="-6"/>
        </w:rPr>
        <w:t xml:space="preserve"> </w:t>
      </w:r>
      <w:r w:rsidRPr="007E4833">
        <w:rPr>
          <w:rFonts w:cstheme="minorHAnsi"/>
        </w:rPr>
        <w:t>fluctuations.</w:t>
      </w:r>
    </w:p>
    <w:p w14:paraId="19F2BD4C" w14:textId="77777777" w:rsidR="00DE3302" w:rsidRPr="007E4833" w:rsidRDefault="00DE3302" w:rsidP="007E4833">
      <w:pPr>
        <w:pStyle w:val="BodyText"/>
        <w:jc w:val="both"/>
        <w:rPr>
          <w:rFonts w:cstheme="minorHAnsi"/>
        </w:rPr>
      </w:pPr>
    </w:p>
    <w:p w14:paraId="68621318" w14:textId="77777777" w:rsidR="00C63430" w:rsidRPr="007E4833" w:rsidRDefault="00C63430" w:rsidP="007E4833">
      <w:pPr>
        <w:pStyle w:val="BodyText"/>
        <w:jc w:val="both"/>
        <w:rPr>
          <w:rFonts w:cstheme="minorHAnsi"/>
        </w:rPr>
      </w:pPr>
      <w:r w:rsidRPr="007E4833">
        <w:rPr>
          <w:rFonts w:cstheme="minorHAnsi"/>
        </w:rPr>
        <w:t>SIPC coverage is not the same as FDIC deposit</w:t>
      </w:r>
      <w:r w:rsidRPr="007E4833">
        <w:rPr>
          <w:rFonts w:cstheme="minorHAnsi"/>
          <w:spacing w:val="-12"/>
        </w:rPr>
        <w:t xml:space="preserve"> </w:t>
      </w:r>
      <w:r w:rsidRPr="007E4833">
        <w:rPr>
          <w:rFonts w:cstheme="minorHAnsi"/>
        </w:rPr>
        <w:t>insurance</w:t>
      </w:r>
      <w:r w:rsidRPr="007E4833">
        <w:rPr>
          <w:rFonts w:cstheme="minorHAnsi"/>
          <w:spacing w:val="-10"/>
        </w:rPr>
        <w:t xml:space="preserve"> </w:t>
      </w:r>
      <w:r w:rsidRPr="007E4833">
        <w:rPr>
          <w:rFonts w:cstheme="minorHAnsi"/>
        </w:rPr>
        <w:t>and</w:t>
      </w:r>
      <w:r w:rsidRPr="007E4833">
        <w:rPr>
          <w:rFonts w:cstheme="minorHAnsi"/>
          <w:spacing w:val="-10"/>
        </w:rPr>
        <w:t xml:space="preserve"> </w:t>
      </w:r>
      <w:r w:rsidRPr="007E4833">
        <w:rPr>
          <w:rFonts w:cstheme="minorHAnsi"/>
        </w:rPr>
        <w:t>operates</w:t>
      </w:r>
      <w:r w:rsidRPr="007E4833">
        <w:rPr>
          <w:rFonts w:cstheme="minorHAnsi"/>
          <w:spacing w:val="-10"/>
        </w:rPr>
        <w:t xml:space="preserve"> </w:t>
      </w:r>
      <w:r w:rsidRPr="007E4833">
        <w:rPr>
          <w:rFonts w:cstheme="minorHAnsi"/>
        </w:rPr>
        <w:t>differently. FDIC</w:t>
      </w:r>
      <w:r w:rsidRPr="007E4833">
        <w:rPr>
          <w:rFonts w:cstheme="minorHAnsi"/>
          <w:spacing w:val="-12"/>
        </w:rPr>
        <w:t xml:space="preserve"> </w:t>
      </w:r>
      <w:r w:rsidRPr="007E4833">
        <w:rPr>
          <w:rFonts w:cstheme="minorHAnsi"/>
        </w:rPr>
        <w:t>is</w:t>
      </w:r>
      <w:r w:rsidRPr="007E4833">
        <w:rPr>
          <w:rFonts w:cstheme="minorHAnsi"/>
          <w:spacing w:val="-11"/>
        </w:rPr>
        <w:t xml:space="preserve"> </w:t>
      </w:r>
      <w:r w:rsidRPr="007E4833">
        <w:rPr>
          <w:rFonts w:cstheme="minorHAnsi"/>
        </w:rPr>
        <w:t>an</w:t>
      </w:r>
      <w:r w:rsidRPr="007E4833">
        <w:rPr>
          <w:rFonts w:cstheme="minorHAnsi"/>
          <w:spacing w:val="-11"/>
        </w:rPr>
        <w:t xml:space="preserve"> </w:t>
      </w:r>
      <w:r w:rsidRPr="007E4833">
        <w:rPr>
          <w:rFonts w:cstheme="minorHAnsi"/>
        </w:rPr>
        <w:t>independent</w:t>
      </w:r>
      <w:r w:rsidRPr="007E4833">
        <w:rPr>
          <w:rFonts w:cstheme="minorHAnsi"/>
          <w:spacing w:val="-12"/>
        </w:rPr>
        <w:t xml:space="preserve"> </w:t>
      </w:r>
      <w:r w:rsidRPr="007E4833">
        <w:rPr>
          <w:rFonts w:cstheme="minorHAnsi"/>
        </w:rPr>
        <w:t>agency</w:t>
      </w:r>
      <w:r w:rsidRPr="007E4833">
        <w:rPr>
          <w:rFonts w:cstheme="minorHAnsi"/>
          <w:spacing w:val="-14"/>
        </w:rPr>
        <w:t xml:space="preserve"> </w:t>
      </w:r>
      <w:r w:rsidRPr="007E4833">
        <w:rPr>
          <w:rFonts w:cstheme="minorHAnsi"/>
        </w:rPr>
        <w:t>of</w:t>
      </w:r>
      <w:r w:rsidRPr="007E4833">
        <w:rPr>
          <w:rFonts w:cstheme="minorHAnsi"/>
          <w:spacing w:val="-12"/>
        </w:rPr>
        <w:t xml:space="preserve"> </w:t>
      </w:r>
      <w:r w:rsidRPr="007E4833">
        <w:rPr>
          <w:rFonts w:cstheme="minorHAnsi"/>
        </w:rPr>
        <w:t>the</w:t>
      </w:r>
      <w:r w:rsidRPr="007E4833">
        <w:rPr>
          <w:rFonts w:cstheme="minorHAnsi"/>
          <w:spacing w:val="-11"/>
        </w:rPr>
        <w:t xml:space="preserve"> </w:t>
      </w:r>
      <w:r w:rsidRPr="007E4833">
        <w:rPr>
          <w:rFonts w:cstheme="minorHAnsi"/>
        </w:rPr>
        <w:t xml:space="preserve">U.S. government that insures bank-held assets as set forth above. </w:t>
      </w:r>
    </w:p>
    <w:p w14:paraId="15836087" w14:textId="77777777" w:rsidR="00C63430" w:rsidRPr="007E4833" w:rsidRDefault="00C63430" w:rsidP="007E4833">
      <w:pPr>
        <w:pStyle w:val="BodyText"/>
        <w:jc w:val="both"/>
        <w:rPr>
          <w:rFonts w:cstheme="minorHAnsi"/>
        </w:rPr>
      </w:pPr>
      <w:r w:rsidRPr="007E4833">
        <w:rPr>
          <w:rFonts w:cstheme="minorHAnsi"/>
          <w:b/>
        </w:rPr>
        <w:t>Unless explicitly stated, products sold by the Firm are not considered bank deposits and</w:t>
      </w:r>
      <w:r w:rsidRPr="007E4833">
        <w:rPr>
          <w:rFonts w:cstheme="minorHAnsi"/>
          <w:b/>
          <w:spacing w:val="-13"/>
        </w:rPr>
        <w:t xml:space="preserve"> </w:t>
      </w:r>
      <w:r w:rsidRPr="007E4833">
        <w:rPr>
          <w:rFonts w:cstheme="minorHAnsi"/>
          <w:b/>
        </w:rPr>
        <w:t>are</w:t>
      </w:r>
      <w:r w:rsidRPr="007E4833">
        <w:rPr>
          <w:rFonts w:cstheme="minorHAnsi"/>
          <w:b/>
          <w:spacing w:val="-12"/>
        </w:rPr>
        <w:t xml:space="preserve"> </w:t>
      </w:r>
      <w:r w:rsidRPr="007E4833">
        <w:rPr>
          <w:rFonts w:cstheme="minorHAnsi"/>
          <w:b/>
        </w:rPr>
        <w:t>not</w:t>
      </w:r>
      <w:r w:rsidRPr="007E4833">
        <w:rPr>
          <w:rFonts w:cstheme="minorHAnsi"/>
          <w:b/>
          <w:spacing w:val="-14"/>
        </w:rPr>
        <w:t xml:space="preserve"> </w:t>
      </w:r>
      <w:r w:rsidRPr="007E4833">
        <w:rPr>
          <w:rFonts w:cstheme="minorHAnsi"/>
          <w:b/>
        </w:rPr>
        <w:t>covered</w:t>
      </w:r>
      <w:r w:rsidRPr="007E4833">
        <w:rPr>
          <w:rFonts w:cstheme="minorHAnsi"/>
          <w:b/>
          <w:spacing w:val="-13"/>
        </w:rPr>
        <w:t xml:space="preserve"> </w:t>
      </w:r>
      <w:r w:rsidRPr="007E4833">
        <w:rPr>
          <w:rFonts w:cstheme="minorHAnsi"/>
          <w:b/>
        </w:rPr>
        <w:t>by</w:t>
      </w:r>
      <w:r w:rsidRPr="007E4833">
        <w:rPr>
          <w:rFonts w:cstheme="minorHAnsi"/>
          <w:b/>
          <w:spacing w:val="-14"/>
        </w:rPr>
        <w:t xml:space="preserve"> </w:t>
      </w:r>
      <w:r w:rsidRPr="007E4833">
        <w:rPr>
          <w:rFonts w:cstheme="minorHAnsi"/>
          <w:b/>
        </w:rPr>
        <w:t>FDIC</w:t>
      </w:r>
      <w:r w:rsidRPr="007E4833">
        <w:rPr>
          <w:rFonts w:cstheme="minorHAnsi"/>
          <w:b/>
          <w:spacing w:val="-13"/>
        </w:rPr>
        <w:t xml:space="preserve"> </w:t>
      </w:r>
      <w:r w:rsidRPr="007E4833">
        <w:rPr>
          <w:rFonts w:cstheme="minorHAnsi"/>
          <w:b/>
        </w:rPr>
        <w:t>insurance</w:t>
      </w:r>
      <w:r w:rsidRPr="007E4833">
        <w:rPr>
          <w:rFonts w:cstheme="minorHAnsi"/>
        </w:rPr>
        <w:t>. Further information on FDIC</w:t>
      </w:r>
      <w:r w:rsidRPr="007E4833">
        <w:rPr>
          <w:rFonts w:cstheme="minorHAnsi"/>
          <w:spacing w:val="44"/>
        </w:rPr>
        <w:t xml:space="preserve"> </w:t>
      </w:r>
      <w:r w:rsidRPr="007E4833">
        <w:rPr>
          <w:rFonts w:cstheme="minorHAnsi"/>
        </w:rPr>
        <w:t>insurance can be obtained from your financial professional, who will provide you with the FDIC brochure, “Your Insured Deposits, FDIC’s Guide to Deposit Insurance Coverage,” upon request. You can obtain information directly from the FDIC, Division of Supervision and Consumer Protection, by writing to Deposit Insurance</w:t>
      </w:r>
      <w:r w:rsidRPr="007E4833">
        <w:rPr>
          <w:rFonts w:cstheme="minorHAnsi"/>
          <w:spacing w:val="-11"/>
        </w:rPr>
        <w:t xml:space="preserve"> </w:t>
      </w:r>
      <w:r w:rsidRPr="007E4833">
        <w:rPr>
          <w:rFonts w:cstheme="minorHAnsi"/>
        </w:rPr>
        <w:t>Outreach,</w:t>
      </w:r>
      <w:r w:rsidRPr="007E4833">
        <w:rPr>
          <w:rFonts w:cstheme="minorHAnsi"/>
          <w:spacing w:val="-11"/>
        </w:rPr>
        <w:t xml:space="preserve"> </w:t>
      </w:r>
      <w:r w:rsidRPr="007E4833">
        <w:rPr>
          <w:rFonts w:cstheme="minorHAnsi"/>
        </w:rPr>
        <w:t>550</w:t>
      </w:r>
      <w:r w:rsidRPr="007E4833">
        <w:rPr>
          <w:rFonts w:cstheme="minorHAnsi"/>
          <w:spacing w:val="-11"/>
        </w:rPr>
        <w:t xml:space="preserve"> </w:t>
      </w:r>
      <w:r w:rsidRPr="007E4833">
        <w:rPr>
          <w:rFonts w:cstheme="minorHAnsi"/>
        </w:rPr>
        <w:t>17th</w:t>
      </w:r>
      <w:r w:rsidRPr="007E4833">
        <w:rPr>
          <w:rFonts w:cstheme="minorHAnsi"/>
          <w:spacing w:val="-14"/>
        </w:rPr>
        <w:t xml:space="preserve"> </w:t>
      </w:r>
      <w:r w:rsidRPr="007E4833">
        <w:rPr>
          <w:rFonts w:cstheme="minorHAnsi"/>
        </w:rPr>
        <w:t>Street</w:t>
      </w:r>
      <w:r w:rsidRPr="007E4833">
        <w:rPr>
          <w:rFonts w:cstheme="minorHAnsi"/>
          <w:spacing w:val="-11"/>
        </w:rPr>
        <w:t xml:space="preserve"> </w:t>
      </w:r>
      <w:r w:rsidRPr="007E4833">
        <w:rPr>
          <w:rFonts w:cstheme="minorHAnsi"/>
        </w:rPr>
        <w:t>N.W., Washington, DC 20429, or telephoning 877-275-3342 or 800-925-4618</w:t>
      </w:r>
      <w:r w:rsidRPr="007E4833">
        <w:rPr>
          <w:rFonts w:cstheme="minorHAnsi"/>
          <w:spacing w:val="32"/>
        </w:rPr>
        <w:t xml:space="preserve"> </w:t>
      </w:r>
      <w:r w:rsidRPr="007E4833">
        <w:rPr>
          <w:rFonts w:cstheme="minorHAnsi"/>
        </w:rPr>
        <w:t>(TDD).</w:t>
      </w:r>
    </w:p>
    <w:p w14:paraId="39E471DD" w14:textId="7E769360" w:rsidR="00C63430" w:rsidRPr="007E4833" w:rsidRDefault="00C63430" w:rsidP="007E4833">
      <w:pPr>
        <w:pStyle w:val="BodyText"/>
        <w:jc w:val="both"/>
        <w:rPr>
          <w:rFonts w:cstheme="minorHAnsi"/>
        </w:rPr>
      </w:pPr>
      <w:r w:rsidRPr="007E4833">
        <w:rPr>
          <w:rFonts w:cstheme="minorHAnsi"/>
        </w:rPr>
        <w:t xml:space="preserve">Or, you may visit the FDIC website at </w:t>
      </w:r>
      <w:hyperlink r:id="rId59" w:history="1">
        <w:r w:rsidRPr="007E4833">
          <w:rPr>
            <w:rStyle w:val="Hyperlink"/>
            <w:rFonts w:cstheme="minorHAnsi"/>
          </w:rPr>
          <w:t>www.fdic.gov</w:t>
        </w:r>
      </w:hyperlink>
      <w:r w:rsidRPr="007E4833">
        <w:rPr>
          <w:rFonts w:cstheme="minorHAnsi"/>
        </w:rPr>
        <w:t xml:space="preserve"> or e-mail them at </w:t>
      </w:r>
      <w:hyperlink r:id="rId60" w:history="1">
        <w:r w:rsidRPr="007E4833">
          <w:rPr>
            <w:rStyle w:val="Hyperlink"/>
            <w:rFonts w:cstheme="minorHAnsi"/>
          </w:rPr>
          <w:t>dcainternet@fdic.gov.</w:t>
        </w:r>
      </w:hyperlink>
      <w:r w:rsidRPr="007E4833">
        <w:rPr>
          <w:rFonts w:cstheme="minorHAnsi"/>
        </w:rPr>
        <w:t xml:space="preserve"> You may also wish to consult with your attorney concerning FDIC coverage of deposits, particularly when held in more than one capacity.</w:t>
      </w:r>
    </w:p>
    <w:p w14:paraId="2600D192" w14:textId="0874A615" w:rsidR="00530B55" w:rsidRPr="007E4833" w:rsidRDefault="00530B55" w:rsidP="007E4833">
      <w:pPr>
        <w:pStyle w:val="BodyText"/>
        <w:jc w:val="both"/>
        <w:rPr>
          <w:rFonts w:cstheme="minorHAnsi"/>
        </w:rPr>
      </w:pPr>
    </w:p>
    <w:p w14:paraId="140C7265" w14:textId="77777777" w:rsidR="00530B55" w:rsidRPr="007E4833" w:rsidRDefault="00530B55" w:rsidP="007E4833">
      <w:pPr>
        <w:pStyle w:val="BodyText"/>
        <w:jc w:val="both"/>
        <w:rPr>
          <w:rFonts w:cstheme="minorHAnsi"/>
          <w:color w:val="4472C4" w:themeColor="accent1"/>
          <w:sz w:val="26"/>
          <w:szCs w:val="26"/>
        </w:rPr>
      </w:pPr>
      <w:r w:rsidRPr="007E4833">
        <w:rPr>
          <w:rFonts w:cstheme="minorHAnsi"/>
          <w:b/>
          <w:bCs/>
          <w:color w:val="4472C4" w:themeColor="accent1"/>
          <w:sz w:val="26"/>
          <w:szCs w:val="26"/>
        </w:rPr>
        <w:t>Day-Trading Risk Disclosure Statement</w:t>
      </w:r>
    </w:p>
    <w:p w14:paraId="3C8D3CCC" w14:textId="77777777" w:rsidR="00530B55" w:rsidRPr="007E4833" w:rsidRDefault="00530B55" w:rsidP="007E4833">
      <w:pPr>
        <w:pStyle w:val="BodyText"/>
        <w:jc w:val="both"/>
        <w:rPr>
          <w:rFonts w:cstheme="minorHAnsi"/>
          <w:color w:val="4472C4" w:themeColor="accent1"/>
        </w:rPr>
      </w:pPr>
      <w:r w:rsidRPr="007E4833">
        <w:rPr>
          <w:rFonts w:cstheme="minorHAnsi"/>
          <w:color w:val="4472C4" w:themeColor="accent1"/>
        </w:rPr>
        <w:t>​</w:t>
      </w:r>
    </w:p>
    <w:p w14:paraId="1162291E" w14:textId="77777777" w:rsidR="00530B55" w:rsidRPr="00530B55" w:rsidRDefault="00530B55" w:rsidP="007E4833">
      <w:pPr>
        <w:pStyle w:val="BodyText"/>
        <w:jc w:val="both"/>
        <w:rPr>
          <w:rFonts w:cstheme="minorHAnsi"/>
        </w:rPr>
      </w:pPr>
      <w:r w:rsidRPr="00530B55">
        <w:rPr>
          <w:rFonts w:cstheme="minorHAnsi"/>
        </w:rPr>
        <w:t>You should consider the following points before engaging in a day-trading strategy. For purposes of this notice, a “day-trading strategy” means an overall trading strategy characterized by the regular transmission by a customer of intra-day orders to effect both purchase and sale transactions in the same security or securities. </w:t>
      </w:r>
    </w:p>
    <w:p w14:paraId="7DD0108D" w14:textId="77777777" w:rsidR="00530B55" w:rsidRPr="00530B55" w:rsidRDefault="00530B55" w:rsidP="007E4833">
      <w:pPr>
        <w:pStyle w:val="BodyText"/>
        <w:jc w:val="both"/>
        <w:rPr>
          <w:rFonts w:cstheme="minorHAnsi"/>
        </w:rPr>
      </w:pPr>
      <w:r w:rsidRPr="00530B55">
        <w:rPr>
          <w:rFonts w:cstheme="minorHAnsi"/>
        </w:rPr>
        <w:t>​</w:t>
      </w:r>
    </w:p>
    <w:p w14:paraId="3217FB51" w14:textId="77777777" w:rsidR="00530B55" w:rsidRPr="00530B55" w:rsidRDefault="00530B55" w:rsidP="007E4833">
      <w:pPr>
        <w:pStyle w:val="BodyText"/>
        <w:jc w:val="both"/>
        <w:rPr>
          <w:rFonts w:cstheme="minorHAnsi"/>
        </w:rPr>
      </w:pPr>
      <w:r w:rsidRPr="00530B55">
        <w:rPr>
          <w:rFonts w:cstheme="minorHAnsi"/>
          <w:b/>
          <w:bCs/>
        </w:rPr>
        <w:t>Day trading can be extremely risky.</w:t>
      </w:r>
      <w:r w:rsidRPr="00530B55">
        <w:rPr>
          <w:rFonts w:cstheme="minorHAnsi"/>
        </w:rPr>
        <w:t xml:space="preserve"> Day trading generally is not appropriate for someone of limited </w:t>
      </w:r>
      <w:r w:rsidRPr="00530B55">
        <w:rPr>
          <w:rFonts w:cstheme="minorHAnsi"/>
        </w:rPr>
        <w:lastRenderedPageBreak/>
        <w:t>resources and limited investment or trading experience and low risk tolerance. You should be prepared to lose all of the funds that you use for day trading. In particular, you should not fund day-trading activities with retirement savings, student loans, second mortgages, emergency funds, funds set aside for purposes such as education or home ownership, or funds required to meet your living expenses. Further, certain evidence indicates that an investment of less than $50,000 will significantly impair the ability of a day trader to make a profit. Of course, an investment of $50,000 or more will in no way guarantee success. </w:t>
      </w:r>
    </w:p>
    <w:p w14:paraId="5D112346" w14:textId="77777777" w:rsidR="00530B55" w:rsidRPr="00530B55" w:rsidRDefault="00530B55" w:rsidP="007E4833">
      <w:pPr>
        <w:pStyle w:val="BodyText"/>
        <w:jc w:val="both"/>
        <w:rPr>
          <w:rFonts w:cstheme="minorHAnsi"/>
        </w:rPr>
      </w:pPr>
      <w:r w:rsidRPr="00530B55">
        <w:rPr>
          <w:rFonts w:cstheme="minorHAnsi"/>
        </w:rPr>
        <w:t>​</w:t>
      </w:r>
    </w:p>
    <w:p w14:paraId="75830DE4" w14:textId="77777777" w:rsidR="00530B55" w:rsidRPr="00530B55" w:rsidRDefault="00530B55" w:rsidP="007E4833">
      <w:pPr>
        <w:pStyle w:val="BodyText"/>
        <w:jc w:val="both"/>
        <w:rPr>
          <w:rFonts w:cstheme="minorHAnsi"/>
        </w:rPr>
      </w:pPr>
      <w:r w:rsidRPr="00530B55">
        <w:rPr>
          <w:rFonts w:cstheme="minorHAnsi"/>
          <w:b/>
          <w:bCs/>
        </w:rPr>
        <w:t>Be cautious of claims of large profits from day trading.</w:t>
      </w:r>
      <w:r w:rsidRPr="00530B55">
        <w:rPr>
          <w:rFonts w:cstheme="minorHAnsi"/>
        </w:rPr>
        <w:t> You should be wary of advertisements or other statements that emphasize the potential for large profits in day trading. Day trading can also lead to large and immediate financial losses. </w:t>
      </w:r>
    </w:p>
    <w:p w14:paraId="3FB8DF63" w14:textId="77777777" w:rsidR="00530B55" w:rsidRPr="00530B55" w:rsidRDefault="00530B55" w:rsidP="007E4833">
      <w:pPr>
        <w:pStyle w:val="BodyText"/>
        <w:jc w:val="both"/>
        <w:rPr>
          <w:rFonts w:cstheme="minorHAnsi"/>
        </w:rPr>
      </w:pPr>
      <w:r w:rsidRPr="00530B55">
        <w:rPr>
          <w:rFonts w:cstheme="minorHAnsi"/>
        </w:rPr>
        <w:t>​</w:t>
      </w:r>
    </w:p>
    <w:p w14:paraId="325EA0AC" w14:textId="77777777" w:rsidR="00530B55" w:rsidRPr="00530B55" w:rsidRDefault="00530B55" w:rsidP="007E4833">
      <w:pPr>
        <w:pStyle w:val="BodyText"/>
        <w:jc w:val="both"/>
        <w:rPr>
          <w:rFonts w:cstheme="minorHAnsi"/>
        </w:rPr>
      </w:pPr>
      <w:r w:rsidRPr="00530B55">
        <w:rPr>
          <w:rFonts w:cstheme="minorHAnsi"/>
          <w:b/>
          <w:bCs/>
        </w:rPr>
        <w:t>Day trading requires knowledge of securities markets.</w:t>
      </w:r>
      <w:r w:rsidRPr="00530B55">
        <w:rPr>
          <w:rFonts w:cstheme="minorHAnsi"/>
        </w:rPr>
        <w:t> Day trading requires in-depth knowledge of the securities markets and trading techniques and strategies. In attempting to profit through day trading, you must compete with professional, licensed traders employed by securities firms. You should have appropriate experience before engaging in day trading. </w:t>
      </w:r>
    </w:p>
    <w:p w14:paraId="7346B9CD" w14:textId="77777777" w:rsidR="00530B55" w:rsidRPr="00530B55" w:rsidRDefault="00530B55" w:rsidP="007E4833">
      <w:pPr>
        <w:pStyle w:val="BodyText"/>
        <w:jc w:val="both"/>
        <w:rPr>
          <w:rFonts w:cstheme="minorHAnsi"/>
        </w:rPr>
      </w:pPr>
      <w:r w:rsidRPr="00530B55">
        <w:rPr>
          <w:rFonts w:cstheme="minorHAnsi"/>
        </w:rPr>
        <w:t>​</w:t>
      </w:r>
    </w:p>
    <w:p w14:paraId="7B52ED12" w14:textId="77777777" w:rsidR="00530B55" w:rsidRPr="00530B55" w:rsidRDefault="00530B55" w:rsidP="007E4833">
      <w:pPr>
        <w:pStyle w:val="BodyText"/>
        <w:jc w:val="both"/>
        <w:rPr>
          <w:rFonts w:cstheme="minorHAnsi"/>
        </w:rPr>
      </w:pPr>
      <w:r w:rsidRPr="00530B55">
        <w:rPr>
          <w:rFonts w:cstheme="minorHAnsi"/>
          <w:b/>
          <w:bCs/>
        </w:rPr>
        <w:t>Day trading requires knowledge of a firm’s operations.</w:t>
      </w:r>
      <w:r w:rsidRPr="00530B55">
        <w:rPr>
          <w:rFonts w:cstheme="minorHAnsi"/>
        </w:rPr>
        <w:t> You should be familiar with a securities firm’s business practices, including the operation of the firm’s order execution systems and procedures. Under certain market conditions, you may find it difficult or impossible to liquidate a position quickly at a reasonable price. This can occur, for example, when the market for a stock suddenly drops, or if trading is halted due to recent news events or unusual trading activity. The more volatile a stock is, the greater the likelihood that problems may be encountered in executing a transaction. In addition to normal market risks, you may experience losses due to system failures. </w:t>
      </w:r>
    </w:p>
    <w:p w14:paraId="375DD8A1" w14:textId="77777777" w:rsidR="00530B55" w:rsidRPr="00530B55" w:rsidRDefault="00530B55" w:rsidP="007E4833">
      <w:pPr>
        <w:pStyle w:val="BodyText"/>
        <w:jc w:val="both"/>
        <w:rPr>
          <w:rFonts w:cstheme="minorHAnsi"/>
        </w:rPr>
      </w:pPr>
      <w:r w:rsidRPr="00530B55">
        <w:rPr>
          <w:rFonts w:cstheme="minorHAnsi"/>
        </w:rPr>
        <w:t>​</w:t>
      </w:r>
    </w:p>
    <w:p w14:paraId="264C7387" w14:textId="77777777" w:rsidR="00530B55" w:rsidRPr="00530B55" w:rsidRDefault="00530B55" w:rsidP="007E4833">
      <w:pPr>
        <w:pStyle w:val="BodyText"/>
        <w:jc w:val="both"/>
        <w:rPr>
          <w:rFonts w:cstheme="minorHAnsi"/>
        </w:rPr>
      </w:pPr>
      <w:r w:rsidRPr="00530B55">
        <w:rPr>
          <w:rFonts w:cstheme="minorHAnsi"/>
          <w:b/>
          <w:bCs/>
        </w:rPr>
        <w:t>Day trading will generate substantial commissions, even if the per trade cost is low.</w:t>
      </w:r>
      <w:r w:rsidRPr="00530B55">
        <w:rPr>
          <w:rFonts w:cstheme="minorHAnsi"/>
        </w:rPr>
        <w:t> Day trading involves aggressive trading, and generally you will pay commissions on each trade. The total daily commissions that you pay on your trades will add to your losses or significantly reduce your earnings. For instance, assuming that a trade costs $16 and an average of 29 transactions are conducted per day, an investor would need to generate an annual profit of $111,360 just to cover commission expenses. </w:t>
      </w:r>
    </w:p>
    <w:p w14:paraId="5DF8D01E" w14:textId="77777777" w:rsidR="00530B55" w:rsidRPr="00530B55" w:rsidRDefault="00530B55" w:rsidP="007E4833">
      <w:pPr>
        <w:pStyle w:val="BodyText"/>
        <w:jc w:val="both"/>
        <w:rPr>
          <w:rFonts w:cstheme="minorHAnsi"/>
        </w:rPr>
      </w:pPr>
      <w:r w:rsidRPr="00530B55">
        <w:rPr>
          <w:rFonts w:cstheme="minorHAnsi"/>
        </w:rPr>
        <w:t>​</w:t>
      </w:r>
    </w:p>
    <w:p w14:paraId="2D54F314" w14:textId="372AEC96" w:rsidR="00530B55" w:rsidRPr="00530B55" w:rsidRDefault="00530B55" w:rsidP="007E4833">
      <w:pPr>
        <w:pStyle w:val="BodyText"/>
        <w:jc w:val="both"/>
        <w:rPr>
          <w:rFonts w:cstheme="minorHAnsi"/>
        </w:rPr>
      </w:pPr>
      <w:r w:rsidRPr="00530B55">
        <w:rPr>
          <w:rFonts w:cstheme="minorHAnsi"/>
          <w:b/>
          <w:bCs/>
        </w:rPr>
        <w:t>Day trading on margin or short selling may result in losses beyond your initial investment.</w:t>
      </w:r>
      <w:r w:rsidRPr="00530B55">
        <w:rPr>
          <w:rFonts w:cstheme="minorHAnsi"/>
        </w:rPr>
        <w:t xml:space="preserve"> When you day trade with funds borrowed from a firm or someone else, you can lose more than the funds you originally placed at risk. A decline in the value of the securities that are purchased may require you to provide additional funds to the firm to avoid the forced sale of those securities or other securities in your account. Short selling as part of your </w:t>
      </w:r>
      <w:r w:rsidR="00683EA3" w:rsidRPr="007E4833">
        <w:rPr>
          <w:rFonts w:cstheme="minorHAnsi"/>
        </w:rPr>
        <w:t>day trading</w:t>
      </w:r>
      <w:r w:rsidRPr="00530B55">
        <w:rPr>
          <w:rFonts w:cstheme="minorHAnsi"/>
        </w:rPr>
        <w:t xml:space="preserve"> strategy also may lead to extraordinary losses, because you may have to purchase a stock at a very high price in order to cover a short position. </w:t>
      </w:r>
    </w:p>
    <w:p w14:paraId="2EFE1A7D" w14:textId="77777777" w:rsidR="00530B55" w:rsidRPr="00530B55" w:rsidRDefault="00530B55" w:rsidP="007E4833">
      <w:pPr>
        <w:pStyle w:val="BodyText"/>
        <w:jc w:val="both"/>
        <w:rPr>
          <w:rFonts w:cstheme="minorHAnsi"/>
        </w:rPr>
      </w:pPr>
      <w:r w:rsidRPr="00530B55">
        <w:rPr>
          <w:rFonts w:cstheme="minorHAnsi"/>
        </w:rPr>
        <w:t>​</w:t>
      </w:r>
    </w:p>
    <w:p w14:paraId="654AE72E" w14:textId="39C7A4AC" w:rsidR="00530B55" w:rsidRPr="007E4833" w:rsidRDefault="00530B55" w:rsidP="007E4833">
      <w:pPr>
        <w:pStyle w:val="BodyText"/>
        <w:jc w:val="both"/>
        <w:rPr>
          <w:rFonts w:cstheme="minorHAnsi"/>
        </w:rPr>
      </w:pPr>
      <w:r w:rsidRPr="00530B55">
        <w:rPr>
          <w:rFonts w:cstheme="minorHAnsi"/>
          <w:b/>
          <w:bCs/>
        </w:rPr>
        <w:t>Potential Registration Requirements.</w:t>
      </w:r>
      <w:r w:rsidRPr="00530B55">
        <w:rPr>
          <w:rFonts w:cstheme="minorHAnsi"/>
        </w:rPr>
        <w:t> Persons providing investment advice for others or managing securities accounts for others may need to register as either an “Investment Advisor” under the Investment Advisors Act of 1940 or as a “Broker” or “Dealer” under the Securities Exchange Act of 1934. Such activities may also trigger state registration requirements.</w:t>
      </w:r>
    </w:p>
    <w:p w14:paraId="3B05244A" w14:textId="4F4E0180" w:rsidR="00530B55" w:rsidRPr="007E4833" w:rsidRDefault="00530B55" w:rsidP="007E4833">
      <w:pPr>
        <w:pStyle w:val="BodyText"/>
        <w:jc w:val="both"/>
        <w:rPr>
          <w:rFonts w:cstheme="minorHAnsi"/>
        </w:rPr>
      </w:pPr>
    </w:p>
    <w:p w14:paraId="7E9C6470" w14:textId="77777777" w:rsidR="00530B55" w:rsidRPr="00530B55" w:rsidRDefault="00530B55" w:rsidP="007E4833">
      <w:pPr>
        <w:pStyle w:val="BodyText"/>
        <w:jc w:val="both"/>
        <w:rPr>
          <w:rFonts w:cstheme="minorHAnsi"/>
        </w:rPr>
      </w:pPr>
    </w:p>
    <w:p w14:paraId="0593AB47" w14:textId="77777777" w:rsidR="00530B55" w:rsidRPr="00530B55" w:rsidRDefault="00530B55" w:rsidP="007E4833">
      <w:pPr>
        <w:pStyle w:val="BodyText"/>
        <w:jc w:val="both"/>
        <w:rPr>
          <w:rFonts w:cstheme="minorHAnsi"/>
        </w:rPr>
      </w:pPr>
      <w:r w:rsidRPr="00530B55">
        <w:rPr>
          <w:rFonts w:cstheme="minorHAnsi"/>
        </w:rPr>
        <w:t>​</w:t>
      </w:r>
    </w:p>
    <w:p w14:paraId="0D1E74EC" w14:textId="77777777" w:rsidR="00530B55" w:rsidRPr="007E4833" w:rsidRDefault="00530B55" w:rsidP="007E4833">
      <w:pPr>
        <w:pStyle w:val="BodyText"/>
        <w:jc w:val="both"/>
        <w:rPr>
          <w:rFonts w:cstheme="minorHAnsi"/>
          <w:color w:val="4472C4" w:themeColor="accent1"/>
          <w:sz w:val="26"/>
          <w:szCs w:val="26"/>
        </w:rPr>
      </w:pPr>
      <w:r w:rsidRPr="007E4833">
        <w:rPr>
          <w:rFonts w:cstheme="minorHAnsi"/>
          <w:b/>
          <w:bCs/>
          <w:color w:val="4472C4" w:themeColor="accent1"/>
          <w:sz w:val="26"/>
          <w:szCs w:val="26"/>
        </w:rPr>
        <w:t>Penny Stock Disclosure Statement</w:t>
      </w:r>
    </w:p>
    <w:p w14:paraId="64784910" w14:textId="77777777" w:rsidR="00530B55" w:rsidRPr="007E4833" w:rsidRDefault="00530B55" w:rsidP="007E4833">
      <w:pPr>
        <w:pStyle w:val="BodyText"/>
        <w:jc w:val="both"/>
        <w:rPr>
          <w:rFonts w:cstheme="minorHAnsi"/>
          <w:color w:val="4472C4" w:themeColor="accent1"/>
          <w:sz w:val="26"/>
          <w:szCs w:val="26"/>
        </w:rPr>
      </w:pPr>
      <w:r w:rsidRPr="007E4833">
        <w:rPr>
          <w:rFonts w:cstheme="minorHAnsi"/>
          <w:color w:val="4472C4" w:themeColor="accent1"/>
          <w:sz w:val="26"/>
          <w:szCs w:val="26"/>
        </w:rPr>
        <w:t>​</w:t>
      </w:r>
    </w:p>
    <w:p w14:paraId="7597E804" w14:textId="1EC21036" w:rsidR="00530B55" w:rsidRPr="00530B55" w:rsidRDefault="00530B55" w:rsidP="007E4833">
      <w:pPr>
        <w:pStyle w:val="BodyText"/>
        <w:jc w:val="both"/>
        <w:rPr>
          <w:rFonts w:cstheme="minorHAnsi"/>
        </w:rPr>
      </w:pPr>
      <w:r w:rsidRPr="00530B55">
        <w:rPr>
          <w:rFonts w:cstheme="minorHAnsi"/>
        </w:rPr>
        <w:t xml:space="preserve">This statement is required by the </w:t>
      </w:r>
      <w:r w:rsidR="00A253E8" w:rsidRPr="007E4833">
        <w:rPr>
          <w:rFonts w:cstheme="minorHAnsi"/>
        </w:rPr>
        <w:t>SEC</w:t>
      </w:r>
      <w:r w:rsidRPr="00530B55">
        <w:rPr>
          <w:rFonts w:cstheme="minorHAnsi"/>
        </w:rPr>
        <w:t xml:space="preserve"> and contains important information on penny stocks. You are urged </w:t>
      </w:r>
      <w:r w:rsidRPr="00530B55">
        <w:rPr>
          <w:rFonts w:cstheme="minorHAnsi"/>
        </w:rPr>
        <w:lastRenderedPageBreak/>
        <w:t>to read it before making a purchase or sale. </w:t>
      </w:r>
    </w:p>
    <w:p w14:paraId="5FACCF4C" w14:textId="77777777" w:rsidR="00530B55" w:rsidRPr="00530B55" w:rsidRDefault="00530B55" w:rsidP="007E4833">
      <w:pPr>
        <w:pStyle w:val="BodyText"/>
        <w:jc w:val="both"/>
        <w:rPr>
          <w:rFonts w:cstheme="minorHAnsi"/>
        </w:rPr>
      </w:pPr>
      <w:r w:rsidRPr="00530B55">
        <w:rPr>
          <w:rFonts w:cstheme="minorHAnsi"/>
        </w:rPr>
        <w:t>​</w:t>
      </w:r>
    </w:p>
    <w:p w14:paraId="03997B8B" w14:textId="77777777" w:rsidR="00530B55" w:rsidRPr="00530B55" w:rsidRDefault="00530B55" w:rsidP="007E4833">
      <w:pPr>
        <w:pStyle w:val="BodyText"/>
        <w:jc w:val="both"/>
        <w:rPr>
          <w:rFonts w:cstheme="minorHAnsi"/>
        </w:rPr>
      </w:pPr>
      <w:r w:rsidRPr="00530B55">
        <w:rPr>
          <w:rFonts w:cstheme="minorHAnsi"/>
        </w:rPr>
        <w:t>Penny stocks can be very risky.</w:t>
      </w:r>
    </w:p>
    <w:p w14:paraId="32252A4F" w14:textId="77777777" w:rsidR="00530B55" w:rsidRPr="00530B55" w:rsidRDefault="00530B55" w:rsidP="007E4833">
      <w:pPr>
        <w:pStyle w:val="BodyText"/>
        <w:jc w:val="both"/>
        <w:rPr>
          <w:rFonts w:cstheme="minorHAnsi"/>
        </w:rPr>
      </w:pPr>
      <w:r w:rsidRPr="00530B55">
        <w:rPr>
          <w:rFonts w:cstheme="minorHAnsi"/>
        </w:rPr>
        <w:t>​</w:t>
      </w:r>
    </w:p>
    <w:p w14:paraId="56D4F5FC" w14:textId="77777777" w:rsidR="00530B55" w:rsidRPr="00530B55" w:rsidRDefault="00530B55" w:rsidP="007E4833">
      <w:pPr>
        <w:pStyle w:val="BodyText"/>
        <w:jc w:val="both"/>
        <w:rPr>
          <w:rFonts w:cstheme="minorHAnsi"/>
        </w:rPr>
      </w:pPr>
      <w:r w:rsidRPr="00530B55">
        <w:rPr>
          <w:rFonts w:cstheme="minorHAnsi"/>
        </w:rPr>
        <w:t>Penny stocks are low-priced shares of small companies not traded on an exchange or quoted on NASDAQ. Prices often are not available. Investors in penny stocks often are unable to sell stock back to the dealer that sold them the stock. Thus, you may lose your investment. Be cautious of newly issued penny stock. </w:t>
      </w:r>
    </w:p>
    <w:p w14:paraId="42EDA3DB" w14:textId="77777777" w:rsidR="00530B55" w:rsidRPr="00530B55" w:rsidRDefault="00530B55" w:rsidP="007E4833">
      <w:pPr>
        <w:pStyle w:val="BodyText"/>
        <w:jc w:val="both"/>
        <w:rPr>
          <w:rFonts w:cstheme="minorHAnsi"/>
        </w:rPr>
      </w:pPr>
      <w:r w:rsidRPr="00530B55">
        <w:rPr>
          <w:rFonts w:cstheme="minorHAnsi"/>
        </w:rPr>
        <w:t>​</w:t>
      </w:r>
    </w:p>
    <w:p w14:paraId="31B3E432" w14:textId="77777777" w:rsidR="00530B55" w:rsidRPr="00530B55" w:rsidRDefault="00530B55" w:rsidP="007E4833">
      <w:pPr>
        <w:pStyle w:val="BodyText"/>
        <w:jc w:val="both"/>
        <w:rPr>
          <w:rFonts w:cstheme="minorHAnsi"/>
        </w:rPr>
      </w:pPr>
      <w:r w:rsidRPr="00530B55">
        <w:rPr>
          <w:rFonts w:cstheme="minorHAnsi"/>
        </w:rPr>
        <w:t>Your salesperson is not an impartial advisor but is paid to sell you the stock. Do not rely only on the salesperson, but seek outside advice before you buy any stock. If you have problems with a salesperson, contact the firm’s compliance officer or the regulators listed below.</w:t>
      </w:r>
    </w:p>
    <w:p w14:paraId="5D46319F" w14:textId="77777777" w:rsidR="00530B55" w:rsidRPr="00530B55" w:rsidRDefault="00530B55" w:rsidP="007E4833">
      <w:pPr>
        <w:pStyle w:val="BodyText"/>
        <w:jc w:val="both"/>
        <w:rPr>
          <w:rFonts w:cstheme="minorHAnsi"/>
        </w:rPr>
      </w:pPr>
      <w:r w:rsidRPr="00530B55">
        <w:rPr>
          <w:rFonts w:cstheme="minorHAnsi"/>
        </w:rPr>
        <w:t>​</w:t>
      </w:r>
    </w:p>
    <w:p w14:paraId="68EA8A55" w14:textId="77777777" w:rsidR="00530B55" w:rsidRPr="00530B55" w:rsidRDefault="00530B55" w:rsidP="007E4833">
      <w:pPr>
        <w:pStyle w:val="BodyText"/>
        <w:jc w:val="both"/>
        <w:rPr>
          <w:rFonts w:cstheme="minorHAnsi"/>
        </w:rPr>
      </w:pPr>
      <w:r w:rsidRPr="00530B55">
        <w:rPr>
          <w:rFonts w:cstheme="minorHAnsi"/>
        </w:rPr>
        <w:t>Information you should get.</w:t>
      </w:r>
    </w:p>
    <w:p w14:paraId="08C9DC76" w14:textId="77777777" w:rsidR="00530B55" w:rsidRPr="00530B55" w:rsidRDefault="00530B55" w:rsidP="007E4833">
      <w:pPr>
        <w:pStyle w:val="BodyText"/>
        <w:jc w:val="both"/>
        <w:rPr>
          <w:rFonts w:cstheme="minorHAnsi"/>
        </w:rPr>
      </w:pPr>
      <w:r w:rsidRPr="00530B55">
        <w:rPr>
          <w:rFonts w:cstheme="minorHAnsi"/>
        </w:rPr>
        <w:t>​</w:t>
      </w:r>
    </w:p>
    <w:p w14:paraId="431B5ED4" w14:textId="77777777" w:rsidR="00530B55" w:rsidRPr="00530B55" w:rsidRDefault="00530B55" w:rsidP="007E4833">
      <w:pPr>
        <w:pStyle w:val="BodyText"/>
        <w:jc w:val="both"/>
        <w:rPr>
          <w:rFonts w:cstheme="minorHAnsi"/>
        </w:rPr>
      </w:pPr>
      <w:r w:rsidRPr="00530B55">
        <w:rPr>
          <w:rFonts w:cstheme="minorHAnsi"/>
          <w:b/>
          <w:bCs/>
        </w:rPr>
        <w:t>Before you buy penny stock,</w:t>
      </w:r>
      <w:r w:rsidRPr="00530B55">
        <w:rPr>
          <w:rFonts w:cstheme="minorHAnsi"/>
        </w:rPr>
        <w:t> [effective January 1, 1993] federal law requires your salesperson to tell you the “</w:t>
      </w:r>
      <w:r w:rsidRPr="00530B55">
        <w:rPr>
          <w:rFonts w:cstheme="minorHAnsi"/>
          <w:b/>
          <w:bCs/>
        </w:rPr>
        <w:t>offer</w:t>
      </w:r>
      <w:r w:rsidRPr="00530B55">
        <w:rPr>
          <w:rFonts w:cstheme="minorHAnsi"/>
        </w:rPr>
        <w:t>” and the “</w:t>
      </w:r>
      <w:r w:rsidRPr="00530B55">
        <w:rPr>
          <w:rFonts w:cstheme="minorHAnsi"/>
          <w:b/>
          <w:bCs/>
        </w:rPr>
        <w:t>bid</w:t>
      </w:r>
      <w:r w:rsidRPr="00530B55">
        <w:rPr>
          <w:rFonts w:cstheme="minorHAnsi"/>
        </w:rPr>
        <w:t>” on the stock, and the “</w:t>
      </w:r>
      <w:r w:rsidRPr="00530B55">
        <w:rPr>
          <w:rFonts w:cstheme="minorHAnsi"/>
          <w:b/>
          <w:bCs/>
        </w:rPr>
        <w:t>compensation</w:t>
      </w:r>
      <w:r w:rsidRPr="00530B55">
        <w:rPr>
          <w:rFonts w:cstheme="minorHAnsi"/>
        </w:rPr>
        <w:t>” the salesperson and the firm receive for the trade. The firm also must mail a confirmation of these prices to you after the trade. </w:t>
      </w:r>
    </w:p>
    <w:p w14:paraId="0C11BB31" w14:textId="77777777" w:rsidR="00530B55" w:rsidRPr="00530B55" w:rsidRDefault="00530B55" w:rsidP="007E4833">
      <w:pPr>
        <w:pStyle w:val="BodyText"/>
        <w:jc w:val="both"/>
        <w:rPr>
          <w:rFonts w:cstheme="minorHAnsi"/>
        </w:rPr>
      </w:pPr>
      <w:r w:rsidRPr="00530B55">
        <w:rPr>
          <w:rFonts w:cstheme="minorHAnsi"/>
        </w:rPr>
        <w:t>​</w:t>
      </w:r>
    </w:p>
    <w:p w14:paraId="1F4707EA" w14:textId="77777777" w:rsidR="00530B55" w:rsidRPr="00530B55" w:rsidRDefault="00530B55" w:rsidP="007E4833">
      <w:pPr>
        <w:pStyle w:val="BodyText"/>
        <w:jc w:val="both"/>
        <w:rPr>
          <w:rFonts w:cstheme="minorHAnsi"/>
        </w:rPr>
      </w:pPr>
      <w:r w:rsidRPr="00530B55">
        <w:rPr>
          <w:rFonts w:cstheme="minorHAnsi"/>
        </w:rPr>
        <w:t>You will need this price information to determine what profit, if any, you will have when you sell your stock. The offer price is the wholesale price at which the dealer is willing to sell stock to other dealers. The bid price is the wholesale price at which the dealer is willing to buy the stock from other dealers. In its trade with you, the dealer may add a retail charge to these wholesale prices as compensation (called a “markup” or “mark-down”).</w:t>
      </w:r>
    </w:p>
    <w:p w14:paraId="03076FEE" w14:textId="77777777" w:rsidR="00530B55" w:rsidRPr="00530B55" w:rsidRDefault="00530B55" w:rsidP="007E4833">
      <w:pPr>
        <w:pStyle w:val="BodyText"/>
        <w:jc w:val="both"/>
        <w:rPr>
          <w:rFonts w:cstheme="minorHAnsi"/>
        </w:rPr>
      </w:pPr>
      <w:r w:rsidRPr="00530B55">
        <w:rPr>
          <w:rFonts w:cstheme="minorHAnsi"/>
        </w:rPr>
        <w:t>​</w:t>
      </w:r>
    </w:p>
    <w:p w14:paraId="4F5DC1B8" w14:textId="77777777" w:rsidR="00530B55" w:rsidRPr="00530B55" w:rsidRDefault="00530B55" w:rsidP="007E4833">
      <w:pPr>
        <w:pStyle w:val="BodyText"/>
        <w:jc w:val="both"/>
        <w:rPr>
          <w:rFonts w:cstheme="minorHAnsi"/>
        </w:rPr>
      </w:pPr>
      <w:r w:rsidRPr="00530B55">
        <w:rPr>
          <w:rFonts w:cstheme="minorHAnsi"/>
        </w:rPr>
        <w:t>The difference between the bid and the offer price is the dealer’s “spread.” A spread that is large compared with the purchase price can make a resale of a stock very costly. To be profitable when you sell, the bid price of your stock must rise above the amount of this spread and the compensation charged by both your selling and purchasing dealers. If the dealer has no bid price, you may not be able to sell the stock after you buy it, and may lose your whole investment. </w:t>
      </w:r>
    </w:p>
    <w:p w14:paraId="5ADD9BE4" w14:textId="77777777" w:rsidR="00530B55" w:rsidRPr="00530B55" w:rsidRDefault="00530B55" w:rsidP="007E4833">
      <w:pPr>
        <w:pStyle w:val="BodyText"/>
        <w:jc w:val="both"/>
        <w:rPr>
          <w:rFonts w:cstheme="minorHAnsi"/>
        </w:rPr>
      </w:pPr>
      <w:r w:rsidRPr="00530B55">
        <w:rPr>
          <w:rFonts w:cstheme="minorHAnsi"/>
        </w:rPr>
        <w:t>​</w:t>
      </w:r>
    </w:p>
    <w:p w14:paraId="02B267D4" w14:textId="77777777" w:rsidR="00530B55" w:rsidRPr="00530B55" w:rsidRDefault="00530B55" w:rsidP="007E4833">
      <w:pPr>
        <w:pStyle w:val="BodyText"/>
        <w:jc w:val="both"/>
        <w:rPr>
          <w:rFonts w:cstheme="minorHAnsi"/>
        </w:rPr>
      </w:pPr>
      <w:r w:rsidRPr="00530B55">
        <w:rPr>
          <w:rFonts w:cstheme="minorHAnsi"/>
        </w:rPr>
        <w:t>Brokers’ duties and customer’s rights and remedies.</w:t>
      </w:r>
    </w:p>
    <w:p w14:paraId="1145D602" w14:textId="77777777" w:rsidR="00530B55" w:rsidRPr="00530B55" w:rsidRDefault="00530B55" w:rsidP="007E4833">
      <w:pPr>
        <w:pStyle w:val="BodyText"/>
        <w:jc w:val="both"/>
        <w:rPr>
          <w:rFonts w:cstheme="minorHAnsi"/>
        </w:rPr>
      </w:pPr>
      <w:r w:rsidRPr="00530B55">
        <w:rPr>
          <w:rFonts w:cstheme="minorHAnsi"/>
        </w:rPr>
        <w:t>​</w:t>
      </w:r>
    </w:p>
    <w:p w14:paraId="3F2FC1BA" w14:textId="77777777" w:rsidR="00530B55" w:rsidRPr="00530B55" w:rsidRDefault="00530B55" w:rsidP="007E4833">
      <w:pPr>
        <w:pStyle w:val="BodyText"/>
        <w:jc w:val="both"/>
        <w:rPr>
          <w:rFonts w:cstheme="minorHAnsi"/>
        </w:rPr>
      </w:pPr>
      <w:r w:rsidRPr="00530B55">
        <w:rPr>
          <w:rFonts w:cstheme="minorHAnsi"/>
        </w:rPr>
        <w:t>If you are a victim of fraud, you may have rights and remedies under state and federal law. You can get the disciplinary history of a salesperson or firm from FINRA at 1-800-289-9999, and additional information from your state securities official, at the North American Securities Administrators Association’s central number: (202) 737-0900. You also may contact the SEC with complaints at (202) 272-7440.</w:t>
      </w:r>
    </w:p>
    <w:p w14:paraId="2627D37D" w14:textId="77777777" w:rsidR="00530B55" w:rsidRPr="00530B55" w:rsidRDefault="00530B55" w:rsidP="007E4833">
      <w:pPr>
        <w:pStyle w:val="BodyText"/>
        <w:jc w:val="both"/>
        <w:rPr>
          <w:rFonts w:cstheme="minorHAnsi"/>
        </w:rPr>
      </w:pPr>
      <w:r w:rsidRPr="00530B55">
        <w:rPr>
          <w:rFonts w:cstheme="minorHAnsi"/>
        </w:rPr>
        <w:t>​</w:t>
      </w:r>
    </w:p>
    <w:p w14:paraId="60E930DC" w14:textId="77777777" w:rsidR="00530B55" w:rsidRPr="00530B55" w:rsidRDefault="00530B55" w:rsidP="007E4833">
      <w:pPr>
        <w:pStyle w:val="BodyText"/>
        <w:jc w:val="both"/>
        <w:rPr>
          <w:rFonts w:cstheme="minorHAnsi"/>
        </w:rPr>
      </w:pPr>
      <w:r w:rsidRPr="00530B55">
        <w:rPr>
          <w:rFonts w:cstheme="minorHAnsi"/>
          <w:b/>
          <w:bCs/>
        </w:rPr>
        <w:t>FURTHER INFORMATION</w:t>
      </w:r>
      <w:r w:rsidRPr="00530B55">
        <w:rPr>
          <w:rFonts w:cstheme="minorHAnsi"/>
        </w:rPr>
        <w:t> THE SECURITIES BEING SOLD TO YOU HAVE NOT BEEN APPROVED OR DISAPPROVED BY THE SECURITIES AND EXCHANGE COMMISSION. MOREOVER, THE SECURITIES AND EXCHANGE COMMISSION HAS NOT PASSED UPON THE FAIRNESS OR THE MERITS OF THIS TRANSACTION NOR UPON THE ACCURACY OR ADEQUACY OF THE INFORMATION CONTAINED IN ANY PROSPECTUS OR ANY OTHER INFORMATION PROVIDED BY AN ISSUER OR A BROKER OR DEALER. </w:t>
      </w:r>
    </w:p>
    <w:p w14:paraId="6D044894" w14:textId="77777777" w:rsidR="00530B55" w:rsidRPr="00530B55" w:rsidRDefault="00530B55" w:rsidP="007E4833">
      <w:pPr>
        <w:pStyle w:val="BodyText"/>
        <w:jc w:val="both"/>
        <w:rPr>
          <w:rFonts w:cstheme="minorHAnsi"/>
        </w:rPr>
      </w:pPr>
      <w:r w:rsidRPr="00530B55">
        <w:rPr>
          <w:rFonts w:cstheme="minorHAnsi"/>
        </w:rPr>
        <w:t>​</w:t>
      </w:r>
    </w:p>
    <w:p w14:paraId="58613BBE" w14:textId="77777777" w:rsidR="00530B55" w:rsidRPr="00530B55" w:rsidRDefault="00530B55" w:rsidP="007E4833">
      <w:pPr>
        <w:pStyle w:val="BodyText"/>
        <w:jc w:val="both"/>
        <w:rPr>
          <w:rFonts w:cstheme="minorHAnsi"/>
        </w:rPr>
      </w:pPr>
      <w:r w:rsidRPr="00530B55">
        <w:rPr>
          <w:rFonts w:cstheme="minorHAnsi"/>
        </w:rPr>
        <w:t>Generally, penny stock is a security that:</w:t>
      </w:r>
    </w:p>
    <w:p w14:paraId="253DCA1B" w14:textId="77777777" w:rsidR="00530B55" w:rsidRPr="00530B55" w:rsidRDefault="00530B55" w:rsidP="007E4833">
      <w:pPr>
        <w:pStyle w:val="BodyText"/>
        <w:jc w:val="both"/>
        <w:rPr>
          <w:rFonts w:cstheme="minorHAnsi"/>
        </w:rPr>
      </w:pPr>
      <w:r w:rsidRPr="00530B55">
        <w:rPr>
          <w:rFonts w:cstheme="minorHAnsi"/>
        </w:rPr>
        <w:t>​</w:t>
      </w:r>
    </w:p>
    <w:p w14:paraId="4E7F3EBB" w14:textId="77777777" w:rsidR="00530B55" w:rsidRPr="00530B55" w:rsidRDefault="00530B55" w:rsidP="007E4833">
      <w:pPr>
        <w:pStyle w:val="BodyText"/>
        <w:jc w:val="both"/>
        <w:rPr>
          <w:rFonts w:cstheme="minorHAnsi"/>
        </w:rPr>
      </w:pPr>
      <w:r w:rsidRPr="00530B55">
        <w:rPr>
          <w:rFonts w:cstheme="minorHAnsi"/>
        </w:rPr>
        <w:t>Is priced under five dollars;</w:t>
      </w:r>
    </w:p>
    <w:p w14:paraId="02966C5F" w14:textId="77777777" w:rsidR="00530B55" w:rsidRPr="00530B55" w:rsidRDefault="00530B55" w:rsidP="007E4833">
      <w:pPr>
        <w:pStyle w:val="BodyText"/>
        <w:jc w:val="both"/>
        <w:rPr>
          <w:rFonts w:cstheme="minorHAnsi"/>
        </w:rPr>
      </w:pPr>
      <w:r w:rsidRPr="00530B55">
        <w:rPr>
          <w:rFonts w:cstheme="minorHAnsi"/>
        </w:rPr>
        <w:t>​</w:t>
      </w:r>
    </w:p>
    <w:p w14:paraId="5FC82338" w14:textId="77777777" w:rsidR="00530B55" w:rsidRPr="00530B55" w:rsidRDefault="00530B55" w:rsidP="007E4833">
      <w:pPr>
        <w:pStyle w:val="BodyText"/>
        <w:jc w:val="both"/>
        <w:rPr>
          <w:rFonts w:cstheme="minorHAnsi"/>
        </w:rPr>
      </w:pPr>
      <w:r w:rsidRPr="00530B55">
        <w:rPr>
          <w:rFonts w:cstheme="minorHAnsi"/>
        </w:rPr>
        <w:t>Is </w:t>
      </w:r>
      <w:r w:rsidRPr="00530B55">
        <w:rPr>
          <w:rFonts w:cstheme="minorHAnsi"/>
          <w:b/>
          <w:bCs/>
        </w:rPr>
        <w:t>not</w:t>
      </w:r>
      <w:r w:rsidRPr="00530B55">
        <w:rPr>
          <w:rFonts w:cstheme="minorHAnsi"/>
        </w:rPr>
        <w:t> traded on a national stock exchange;</w:t>
      </w:r>
    </w:p>
    <w:p w14:paraId="1BFC09B8" w14:textId="77777777" w:rsidR="00530B55" w:rsidRPr="00530B55" w:rsidRDefault="00530B55" w:rsidP="007E4833">
      <w:pPr>
        <w:pStyle w:val="BodyText"/>
        <w:jc w:val="both"/>
        <w:rPr>
          <w:rFonts w:cstheme="minorHAnsi"/>
        </w:rPr>
      </w:pPr>
      <w:r w:rsidRPr="00530B55">
        <w:rPr>
          <w:rFonts w:cstheme="minorHAnsi"/>
        </w:rPr>
        <w:lastRenderedPageBreak/>
        <w:t>​</w:t>
      </w:r>
    </w:p>
    <w:p w14:paraId="2F0D9151" w14:textId="77777777" w:rsidR="00530B55" w:rsidRPr="00530B55" w:rsidRDefault="00530B55" w:rsidP="007E4833">
      <w:pPr>
        <w:pStyle w:val="BodyText"/>
        <w:jc w:val="both"/>
        <w:rPr>
          <w:rFonts w:cstheme="minorHAnsi"/>
        </w:rPr>
      </w:pPr>
      <w:r w:rsidRPr="00530B55">
        <w:rPr>
          <w:rFonts w:cstheme="minorHAnsi"/>
        </w:rPr>
        <w:t>May be listed in the “pink sheets” or the OTC Bulletin Board;</w:t>
      </w:r>
    </w:p>
    <w:p w14:paraId="368C901E" w14:textId="77777777" w:rsidR="00530B55" w:rsidRPr="00530B55" w:rsidRDefault="00530B55" w:rsidP="007E4833">
      <w:pPr>
        <w:pStyle w:val="BodyText"/>
        <w:jc w:val="both"/>
        <w:rPr>
          <w:rFonts w:cstheme="minorHAnsi"/>
        </w:rPr>
      </w:pPr>
      <w:r w:rsidRPr="00530B55">
        <w:rPr>
          <w:rFonts w:cstheme="minorHAnsi"/>
        </w:rPr>
        <w:t>​</w:t>
      </w:r>
    </w:p>
    <w:p w14:paraId="49819182" w14:textId="77777777" w:rsidR="00530B55" w:rsidRPr="00530B55" w:rsidRDefault="00530B55" w:rsidP="007E4833">
      <w:pPr>
        <w:pStyle w:val="BodyText"/>
        <w:jc w:val="both"/>
        <w:rPr>
          <w:rFonts w:cstheme="minorHAnsi"/>
        </w:rPr>
      </w:pPr>
      <w:r w:rsidRPr="00530B55">
        <w:rPr>
          <w:rFonts w:cstheme="minorHAnsi"/>
        </w:rPr>
        <w:t>Is issued by a company that has less than $5 million in net tangible assets and has been in business less than three years, by a company that has under $2 million in net tangible assets and has been in business for at least three years, or by a company that has revenues of $6 million for 3 years. </w:t>
      </w:r>
    </w:p>
    <w:p w14:paraId="0AB8146D" w14:textId="77777777" w:rsidR="00530B55" w:rsidRPr="00530B55" w:rsidRDefault="00530B55" w:rsidP="007E4833">
      <w:pPr>
        <w:pStyle w:val="BodyText"/>
        <w:jc w:val="both"/>
        <w:rPr>
          <w:rFonts w:cstheme="minorHAnsi"/>
        </w:rPr>
      </w:pPr>
      <w:r w:rsidRPr="00530B55">
        <w:rPr>
          <w:rFonts w:cstheme="minorHAnsi"/>
        </w:rPr>
        <w:t>​</w:t>
      </w:r>
    </w:p>
    <w:p w14:paraId="52F45829" w14:textId="77777777" w:rsidR="00530B55" w:rsidRPr="00530B55" w:rsidRDefault="00530B55" w:rsidP="007E4833">
      <w:pPr>
        <w:pStyle w:val="BodyText"/>
        <w:jc w:val="both"/>
        <w:rPr>
          <w:rFonts w:cstheme="minorHAnsi"/>
        </w:rPr>
      </w:pPr>
      <w:r w:rsidRPr="00530B55">
        <w:rPr>
          <w:rFonts w:cstheme="minorHAnsi"/>
          <w:b/>
          <w:bCs/>
        </w:rPr>
        <w:t>Use caution when investing in penny stocks:</w:t>
      </w:r>
      <w:r w:rsidRPr="00530B55">
        <w:rPr>
          <w:rFonts w:cstheme="minorHAnsi"/>
        </w:rPr>
        <w:t>​</w:t>
      </w:r>
    </w:p>
    <w:p w14:paraId="02E71070" w14:textId="77777777" w:rsidR="00530B55" w:rsidRPr="00530B55" w:rsidRDefault="00530B55" w:rsidP="007E4833">
      <w:pPr>
        <w:pStyle w:val="BodyText"/>
        <w:jc w:val="both"/>
        <w:rPr>
          <w:rFonts w:cstheme="minorHAnsi"/>
        </w:rPr>
      </w:pPr>
      <w:r w:rsidRPr="00530B55">
        <w:rPr>
          <w:rFonts w:cstheme="minorHAnsi"/>
        </w:rPr>
        <w:t>​</w:t>
      </w:r>
    </w:p>
    <w:p w14:paraId="756E4F9B" w14:textId="77777777" w:rsidR="00530B55" w:rsidRPr="00530B55" w:rsidRDefault="00530B55" w:rsidP="007E4833">
      <w:pPr>
        <w:pStyle w:val="BodyText"/>
        <w:jc w:val="both"/>
        <w:rPr>
          <w:rFonts w:cstheme="minorHAnsi"/>
        </w:rPr>
      </w:pPr>
      <w:r w:rsidRPr="00530B55">
        <w:rPr>
          <w:rFonts w:cstheme="minorHAnsi"/>
        </w:rPr>
        <w:t>1. </w:t>
      </w:r>
      <w:r w:rsidRPr="00530B55">
        <w:rPr>
          <w:rFonts w:cstheme="minorHAnsi"/>
          <w:b/>
          <w:bCs/>
        </w:rPr>
        <w:t>Do not make a hurried investment decision.</w:t>
      </w:r>
      <w:r w:rsidRPr="00530B55">
        <w:rPr>
          <w:rFonts w:cstheme="minorHAnsi"/>
        </w:rPr>
        <w:t> High-pressure sales techniques can be a warning sign of fraud. The salesperson is not an impartial advisor, but is paid for selling stock to you. The salesperson also does not have to watch your investment for you. Thus, you should think over the offer and seek outside advice. Check to see if the information given by the salesperson differs from other information you may have. Also, it is illegal for salespersons to promise that a stock will increase in value or is risk-free, or to guarantee against loss. If you think there is a problem, ask to speak with a compliance official at the firm, and, if necessary, any of the regulators referred to in this statement.</w:t>
      </w:r>
    </w:p>
    <w:p w14:paraId="23F0F2FC" w14:textId="77777777" w:rsidR="00530B55" w:rsidRPr="00530B55" w:rsidRDefault="00530B55" w:rsidP="007E4833">
      <w:pPr>
        <w:pStyle w:val="BodyText"/>
        <w:jc w:val="both"/>
        <w:rPr>
          <w:rFonts w:cstheme="minorHAnsi"/>
        </w:rPr>
      </w:pPr>
      <w:r w:rsidRPr="00530B55">
        <w:rPr>
          <w:rFonts w:cstheme="minorHAnsi"/>
        </w:rPr>
        <w:t>​</w:t>
      </w:r>
    </w:p>
    <w:p w14:paraId="6DA679E5" w14:textId="77777777" w:rsidR="00530B55" w:rsidRPr="00530B55" w:rsidRDefault="00530B55" w:rsidP="007E4833">
      <w:pPr>
        <w:pStyle w:val="BodyText"/>
        <w:jc w:val="both"/>
        <w:rPr>
          <w:rFonts w:cstheme="minorHAnsi"/>
        </w:rPr>
      </w:pPr>
      <w:r w:rsidRPr="00530B55">
        <w:rPr>
          <w:rFonts w:cstheme="minorHAnsi"/>
        </w:rPr>
        <w:t>2. Study the company issuing the stock. Be wary of companies that have no operating history, few assets, or no defined business purpose. These may be sham or “shell” corporations. Read the prospectus for the company carefully before you invest. Some dealers fraudulently solicit investors’ money to buy stock in sham companies, artificially inflate the stock prices, then cash in their profits before public investors can sell their stock. </w:t>
      </w:r>
    </w:p>
    <w:p w14:paraId="269F49EB" w14:textId="77777777" w:rsidR="00530B55" w:rsidRPr="00530B55" w:rsidRDefault="00530B55" w:rsidP="007E4833">
      <w:pPr>
        <w:pStyle w:val="BodyText"/>
        <w:jc w:val="both"/>
        <w:rPr>
          <w:rFonts w:cstheme="minorHAnsi"/>
        </w:rPr>
      </w:pPr>
      <w:r w:rsidRPr="00530B55">
        <w:rPr>
          <w:rFonts w:cstheme="minorHAnsi"/>
        </w:rPr>
        <w:t>​</w:t>
      </w:r>
    </w:p>
    <w:p w14:paraId="47E37C6F" w14:textId="77777777" w:rsidR="00530B55" w:rsidRPr="00530B55" w:rsidRDefault="00530B55" w:rsidP="007E4833">
      <w:pPr>
        <w:pStyle w:val="BodyText"/>
        <w:jc w:val="both"/>
        <w:rPr>
          <w:rFonts w:cstheme="minorHAnsi"/>
        </w:rPr>
      </w:pPr>
      <w:r w:rsidRPr="00530B55">
        <w:rPr>
          <w:rFonts w:cstheme="minorHAnsi"/>
        </w:rPr>
        <w:t>3. Understand the risky nature of these stocks. You should be aware that you may lose part or all of your investment. Because of large dealer spreads, you will not be able to sell the stock immediately back to the dealer at the same price it sold the stock to you. In some cases, the stock may fall quickly in value. New companies, whose stock is sold in an “initial public offering,” often are riskier investments. Try to find out if the shares the salesperson wants to sell you are part of such an offering. Your salesperson must give you a “prospectus” in an initial public offering, but the financial condition shown in the prospectus of new companies can change very quickly.</w:t>
      </w:r>
    </w:p>
    <w:p w14:paraId="7D2993C6" w14:textId="77777777" w:rsidR="00530B55" w:rsidRPr="00530B55" w:rsidRDefault="00530B55" w:rsidP="007E4833">
      <w:pPr>
        <w:pStyle w:val="BodyText"/>
        <w:jc w:val="both"/>
        <w:rPr>
          <w:rFonts w:cstheme="minorHAnsi"/>
        </w:rPr>
      </w:pPr>
      <w:r w:rsidRPr="00530B55">
        <w:rPr>
          <w:rFonts w:cstheme="minorHAnsi"/>
        </w:rPr>
        <w:t>​</w:t>
      </w:r>
    </w:p>
    <w:p w14:paraId="3F1710E2" w14:textId="77777777" w:rsidR="00530B55" w:rsidRPr="00530B55" w:rsidRDefault="00530B55" w:rsidP="007E4833">
      <w:pPr>
        <w:pStyle w:val="BodyText"/>
        <w:jc w:val="both"/>
        <w:rPr>
          <w:rFonts w:cstheme="minorHAnsi"/>
        </w:rPr>
      </w:pPr>
      <w:r w:rsidRPr="00530B55">
        <w:rPr>
          <w:rFonts w:cstheme="minorHAnsi"/>
        </w:rPr>
        <w:t>4. </w:t>
      </w:r>
      <w:r w:rsidRPr="00530B55">
        <w:rPr>
          <w:rFonts w:cstheme="minorHAnsi"/>
          <w:b/>
          <w:bCs/>
        </w:rPr>
        <w:t>Know the brokerage firm and the salespeople with whom you are dealing.</w:t>
      </w:r>
      <w:r w:rsidRPr="00530B55">
        <w:rPr>
          <w:rFonts w:cstheme="minorHAnsi"/>
        </w:rPr>
        <w:t> Because of the nature of the market for penny stock, you may have to rely solely on the original brokerage firm that sold you the stock for prices and to buy the stock back from you. Ask the Financial Industry Regulatory Authority (FINRA) or your state securities regulator, which is a member of the North American Securities Administrators Association, Inc. (NASAA), about the licensing and disciplinary record of the brokerage firm and the salesperson contacting you. The telephone numbers of FINRA and NASAA are listed on the first page of this document. -</w:t>
      </w:r>
    </w:p>
    <w:p w14:paraId="72EF94FA" w14:textId="77777777" w:rsidR="00530B55" w:rsidRPr="00530B55" w:rsidRDefault="00530B55" w:rsidP="007E4833">
      <w:pPr>
        <w:pStyle w:val="BodyText"/>
        <w:jc w:val="both"/>
        <w:rPr>
          <w:rFonts w:cstheme="minorHAnsi"/>
        </w:rPr>
      </w:pPr>
      <w:r w:rsidRPr="00530B55">
        <w:rPr>
          <w:rFonts w:cstheme="minorHAnsi"/>
        </w:rPr>
        <w:t>​</w:t>
      </w:r>
    </w:p>
    <w:p w14:paraId="6C3323B8" w14:textId="77777777" w:rsidR="00530B55" w:rsidRPr="00530B55" w:rsidRDefault="00530B55" w:rsidP="007E4833">
      <w:pPr>
        <w:pStyle w:val="BodyText"/>
        <w:jc w:val="both"/>
        <w:rPr>
          <w:rFonts w:cstheme="minorHAnsi"/>
        </w:rPr>
      </w:pPr>
      <w:r w:rsidRPr="00530B55">
        <w:rPr>
          <w:rFonts w:cstheme="minorHAnsi"/>
        </w:rPr>
        <w:t>5. </w:t>
      </w:r>
      <w:r w:rsidRPr="00530B55">
        <w:rPr>
          <w:rFonts w:cstheme="minorHAnsi"/>
          <w:b/>
          <w:bCs/>
        </w:rPr>
        <w:t>Be cautious if your salesperson leaves the firm.</w:t>
      </w:r>
      <w:r w:rsidRPr="00530B55">
        <w:rPr>
          <w:rFonts w:cstheme="minorHAnsi"/>
        </w:rPr>
        <w:t> If the salesperson who sold you the stock leaves his or her firm, the firm may reassign your account to a new salesperson. If you have problems, ask to speak to the firm’s branch office manager or a compliance officer. Although the departing salesperson may ask you to transfer your stock to his or her new firm, you do not have to do so. Get information on the new firm. Be wary of requests to sell your securities when the salesperson transfers to a new firm. Also, you have the right to get your stock certificate from your selling firm. You do not have to leave the certificate with that firm or any other firm.</w:t>
      </w:r>
    </w:p>
    <w:p w14:paraId="00EE2F13" w14:textId="77777777" w:rsidR="00530B55" w:rsidRPr="00530B55" w:rsidRDefault="00530B55" w:rsidP="007E4833">
      <w:pPr>
        <w:pStyle w:val="BodyText"/>
        <w:jc w:val="both"/>
        <w:rPr>
          <w:rFonts w:cstheme="minorHAnsi"/>
        </w:rPr>
      </w:pPr>
      <w:r w:rsidRPr="00530B55">
        <w:rPr>
          <w:rFonts w:cstheme="minorHAnsi"/>
        </w:rPr>
        <w:t>​</w:t>
      </w:r>
    </w:p>
    <w:p w14:paraId="4C90AEAA" w14:textId="77777777" w:rsidR="00530B55" w:rsidRPr="00530B55" w:rsidRDefault="00530B55" w:rsidP="007E4833">
      <w:pPr>
        <w:pStyle w:val="BodyText"/>
        <w:jc w:val="both"/>
        <w:rPr>
          <w:rFonts w:cstheme="minorHAnsi"/>
        </w:rPr>
      </w:pPr>
      <w:r w:rsidRPr="00530B55">
        <w:rPr>
          <w:rFonts w:cstheme="minorHAnsi"/>
        </w:rPr>
        <w:t>​</w:t>
      </w:r>
    </w:p>
    <w:p w14:paraId="65898387" w14:textId="77777777" w:rsidR="00530B55" w:rsidRPr="007E4833" w:rsidRDefault="00530B55" w:rsidP="007E4833">
      <w:pPr>
        <w:pStyle w:val="BodyText"/>
        <w:jc w:val="both"/>
        <w:rPr>
          <w:rFonts w:cstheme="minorHAnsi"/>
          <w:color w:val="4472C4" w:themeColor="accent1"/>
          <w:sz w:val="26"/>
          <w:szCs w:val="26"/>
        </w:rPr>
      </w:pPr>
      <w:r w:rsidRPr="007E4833">
        <w:rPr>
          <w:rFonts w:cstheme="minorHAnsi"/>
          <w:b/>
          <w:bCs/>
          <w:color w:val="4472C4" w:themeColor="accent1"/>
          <w:sz w:val="26"/>
          <w:szCs w:val="26"/>
        </w:rPr>
        <w:lastRenderedPageBreak/>
        <w:t>YOUR RIGHTS</w:t>
      </w:r>
    </w:p>
    <w:p w14:paraId="6787BA31" w14:textId="77777777" w:rsidR="00530B55" w:rsidRPr="00530B55" w:rsidRDefault="00530B55" w:rsidP="007E4833">
      <w:pPr>
        <w:pStyle w:val="BodyText"/>
        <w:jc w:val="both"/>
        <w:rPr>
          <w:rFonts w:cstheme="minorHAnsi"/>
        </w:rPr>
      </w:pPr>
      <w:r w:rsidRPr="00530B55">
        <w:rPr>
          <w:rFonts w:cstheme="minorHAnsi"/>
        </w:rPr>
        <w:t>​</w:t>
      </w:r>
    </w:p>
    <w:p w14:paraId="5CFED612" w14:textId="77777777" w:rsidR="00530B55" w:rsidRPr="00530B55" w:rsidRDefault="00530B55" w:rsidP="007E4833">
      <w:pPr>
        <w:pStyle w:val="BodyText"/>
        <w:jc w:val="both"/>
        <w:rPr>
          <w:rFonts w:cstheme="minorHAnsi"/>
        </w:rPr>
      </w:pPr>
      <w:r w:rsidRPr="00530B55">
        <w:rPr>
          <w:rFonts w:cstheme="minorHAnsi"/>
          <w:b/>
          <w:bCs/>
        </w:rPr>
        <w:t>Disclosures to you. Under penalty of federal law,</w:t>
      </w:r>
      <w:r w:rsidRPr="00530B55">
        <w:rPr>
          <w:rFonts w:cstheme="minorHAnsi"/>
        </w:rPr>
        <w:t> [effective January 1, 1993] your brokerage firm must tell you the following information at two different times—before you agree to buy or sell a penny stock, and after the trade, by written confirmation: </w:t>
      </w:r>
    </w:p>
    <w:p w14:paraId="37675C70" w14:textId="77777777" w:rsidR="00530B55" w:rsidRPr="00530B55" w:rsidRDefault="00530B55" w:rsidP="007E4833">
      <w:pPr>
        <w:pStyle w:val="BodyText"/>
        <w:jc w:val="both"/>
        <w:rPr>
          <w:rFonts w:cstheme="minorHAnsi"/>
        </w:rPr>
      </w:pPr>
      <w:r w:rsidRPr="00530B55">
        <w:rPr>
          <w:rFonts w:cstheme="minorHAnsi"/>
        </w:rPr>
        <w:t>​</w:t>
      </w:r>
    </w:p>
    <w:p w14:paraId="1351FDBF" w14:textId="77777777" w:rsidR="00530B55" w:rsidRPr="00530B55" w:rsidRDefault="00530B55" w:rsidP="007E4833">
      <w:pPr>
        <w:pStyle w:val="BodyText"/>
        <w:jc w:val="both"/>
        <w:rPr>
          <w:rFonts w:cstheme="minorHAnsi"/>
        </w:rPr>
      </w:pPr>
      <w:r w:rsidRPr="00530B55">
        <w:rPr>
          <w:rFonts w:cstheme="minorHAnsi"/>
        </w:rPr>
        <w:t>The bid and offer price quotes for penny stock, and the number of shares to which the quoted prices apply. The bid and offer quotes are the wholesale prices at which dealers trade among themselves. These prices give you an idea of the market value of the stock. The dealer must tell you these price quotes if they appear on an automated quotation system approved by the SEC. If not, the dealer must use its own quotes or trade prices. You should calculate the spread, the difference between the bid and offer quotes, to help decide if buying the stock is a good investment.</w:t>
      </w:r>
    </w:p>
    <w:p w14:paraId="4B803FAF" w14:textId="77777777" w:rsidR="00530B55" w:rsidRPr="00530B55" w:rsidRDefault="00530B55" w:rsidP="007E4833">
      <w:pPr>
        <w:pStyle w:val="BodyText"/>
        <w:jc w:val="both"/>
        <w:rPr>
          <w:rFonts w:cstheme="minorHAnsi"/>
        </w:rPr>
      </w:pPr>
      <w:r w:rsidRPr="00530B55">
        <w:rPr>
          <w:rFonts w:cstheme="minorHAnsi"/>
        </w:rPr>
        <w:t>​</w:t>
      </w:r>
    </w:p>
    <w:p w14:paraId="1217F85D" w14:textId="77777777" w:rsidR="00530B55" w:rsidRPr="00530B55" w:rsidRDefault="00530B55" w:rsidP="007E4833">
      <w:pPr>
        <w:pStyle w:val="BodyText"/>
        <w:jc w:val="both"/>
        <w:rPr>
          <w:rFonts w:cstheme="minorHAnsi"/>
        </w:rPr>
      </w:pPr>
      <w:r w:rsidRPr="00530B55">
        <w:rPr>
          <w:rFonts w:cstheme="minorHAnsi"/>
        </w:rPr>
        <w:t>A lack of quotes may mean that the market among dealers is not active. It thus may be difficult to resell the stock. You also should be aware that the actual price charged to you for the stock may differ from the price quoted to you for 100 shares. You should therefore determine, before you agree to a purchase, what the actual sales price (before the markup) will be for the exact number of shares you want to buy.</w:t>
      </w:r>
    </w:p>
    <w:p w14:paraId="3C9FCED1" w14:textId="77777777" w:rsidR="00530B55" w:rsidRPr="00530B55" w:rsidRDefault="00530B55" w:rsidP="007E4833">
      <w:pPr>
        <w:pStyle w:val="BodyText"/>
        <w:jc w:val="both"/>
        <w:rPr>
          <w:rFonts w:cstheme="minorHAnsi"/>
        </w:rPr>
      </w:pPr>
      <w:r w:rsidRPr="00530B55">
        <w:rPr>
          <w:rFonts w:cstheme="minorHAnsi"/>
        </w:rPr>
        <w:t>​</w:t>
      </w:r>
    </w:p>
    <w:p w14:paraId="59CE0942" w14:textId="77777777" w:rsidR="00530B55" w:rsidRPr="007E4833" w:rsidRDefault="00530B55" w:rsidP="007E4833">
      <w:pPr>
        <w:pStyle w:val="BodyText"/>
        <w:jc w:val="both"/>
        <w:rPr>
          <w:rFonts w:cstheme="minorHAnsi"/>
          <w:color w:val="4472C4" w:themeColor="accent1"/>
          <w:sz w:val="26"/>
          <w:szCs w:val="26"/>
        </w:rPr>
      </w:pPr>
      <w:r w:rsidRPr="00530B55">
        <w:rPr>
          <w:rFonts w:cstheme="minorHAnsi"/>
        </w:rPr>
        <w:t>​</w:t>
      </w:r>
    </w:p>
    <w:p w14:paraId="504600F1" w14:textId="77777777" w:rsidR="00530B55" w:rsidRPr="007E4833" w:rsidRDefault="00530B55" w:rsidP="007E4833">
      <w:pPr>
        <w:pStyle w:val="BodyText"/>
        <w:jc w:val="both"/>
        <w:rPr>
          <w:rFonts w:cstheme="minorHAnsi"/>
          <w:color w:val="4472C4" w:themeColor="accent1"/>
          <w:sz w:val="26"/>
          <w:szCs w:val="26"/>
        </w:rPr>
      </w:pPr>
      <w:r w:rsidRPr="007E4833">
        <w:rPr>
          <w:rFonts w:cstheme="minorHAnsi"/>
          <w:b/>
          <w:bCs/>
          <w:color w:val="4472C4" w:themeColor="accent1"/>
          <w:sz w:val="26"/>
          <w:szCs w:val="26"/>
        </w:rPr>
        <w:t>Order Routing and Execution Disclosures (SEC Rule 606)</w:t>
      </w:r>
    </w:p>
    <w:p w14:paraId="289F00D5" w14:textId="77777777" w:rsidR="00530B55" w:rsidRPr="00530B55" w:rsidRDefault="00530B55" w:rsidP="007E4833">
      <w:pPr>
        <w:pStyle w:val="BodyText"/>
        <w:jc w:val="both"/>
        <w:rPr>
          <w:rFonts w:cstheme="minorHAnsi"/>
        </w:rPr>
      </w:pPr>
      <w:r w:rsidRPr="00530B55">
        <w:rPr>
          <w:rFonts w:cstheme="minorHAnsi"/>
        </w:rPr>
        <w:t> </w:t>
      </w:r>
    </w:p>
    <w:p w14:paraId="76EFB8B4" w14:textId="15F49C4B" w:rsidR="00530B55" w:rsidRPr="00530B55" w:rsidRDefault="00530B55" w:rsidP="007E4833">
      <w:pPr>
        <w:pStyle w:val="BodyText"/>
        <w:jc w:val="both"/>
        <w:rPr>
          <w:rFonts w:cstheme="minorHAnsi"/>
        </w:rPr>
      </w:pPr>
      <w:r w:rsidRPr="00530B55">
        <w:rPr>
          <w:rFonts w:cstheme="minorHAnsi"/>
        </w:rPr>
        <w:t xml:space="preserve">Pursuant to SEC Rule 606, </w:t>
      </w:r>
      <w:r w:rsidR="00A253E8" w:rsidRPr="007E4833">
        <w:rPr>
          <w:rFonts w:cstheme="minorHAnsi"/>
        </w:rPr>
        <w:t>BSL</w:t>
      </w:r>
      <w:r w:rsidRPr="00530B55">
        <w:rPr>
          <w:rFonts w:cstheme="minorHAnsi"/>
        </w:rPr>
        <w:t xml:space="preserve"> is required to make publicly available a quarterly report regarding its routing of non-directed orders. SEC Rule 606(b) requires a broker-dealer to disclose to its customers, upon request, “the identity of the venue to which the customer’s orders were routed for execution in the six months prior to the request, whether the orders were directed orders or non-directed orders, and the time of the transactions, if any, that resulted from such orders.”</w:t>
      </w:r>
    </w:p>
    <w:p w14:paraId="658DBC9C" w14:textId="77777777" w:rsidR="00530B55" w:rsidRPr="00530B55" w:rsidRDefault="00530B55" w:rsidP="007E4833">
      <w:pPr>
        <w:pStyle w:val="BodyText"/>
        <w:jc w:val="both"/>
        <w:rPr>
          <w:rFonts w:cstheme="minorHAnsi"/>
        </w:rPr>
      </w:pPr>
      <w:r w:rsidRPr="00530B55">
        <w:rPr>
          <w:rFonts w:cstheme="minorHAnsi"/>
        </w:rPr>
        <w:t> </w:t>
      </w:r>
    </w:p>
    <w:p w14:paraId="0989AA2E" w14:textId="48477201" w:rsidR="00530B55" w:rsidRPr="00530B55" w:rsidRDefault="00530B55" w:rsidP="007E4833">
      <w:pPr>
        <w:pStyle w:val="BodyText"/>
        <w:jc w:val="both"/>
        <w:rPr>
          <w:rFonts w:cstheme="minorHAnsi"/>
        </w:rPr>
      </w:pPr>
      <w:r w:rsidRPr="00530B55">
        <w:rPr>
          <w:rFonts w:cstheme="minorHAnsi"/>
        </w:rPr>
        <w:t xml:space="preserve">Boustead directs all customer orders to their clearing firm, </w:t>
      </w:r>
      <w:r w:rsidR="005853B6" w:rsidRPr="007E4833">
        <w:rPr>
          <w:rFonts w:cstheme="minorHAnsi"/>
        </w:rPr>
        <w:t>Vision Financial Markets</w:t>
      </w:r>
      <w:r w:rsidRPr="00530B55">
        <w:rPr>
          <w:rFonts w:cstheme="minorHAnsi"/>
        </w:rPr>
        <w:t>.  For further information related to these orders please click on the links below:</w:t>
      </w:r>
    </w:p>
    <w:p w14:paraId="015263B5" w14:textId="77777777" w:rsidR="00530B55" w:rsidRPr="00530B55" w:rsidRDefault="00530B55" w:rsidP="007E4833">
      <w:pPr>
        <w:pStyle w:val="BodyText"/>
        <w:jc w:val="both"/>
        <w:rPr>
          <w:rFonts w:cstheme="minorHAnsi"/>
        </w:rPr>
      </w:pPr>
      <w:r w:rsidRPr="00530B55">
        <w:rPr>
          <w:rFonts w:cstheme="minorHAnsi"/>
        </w:rPr>
        <w:t> </w:t>
      </w:r>
    </w:p>
    <w:p w14:paraId="50C7C4AF" w14:textId="77777777" w:rsidR="00530B55" w:rsidRPr="00012B72" w:rsidRDefault="00D40186" w:rsidP="007E4833">
      <w:pPr>
        <w:pStyle w:val="BodyText"/>
        <w:jc w:val="both"/>
        <w:rPr>
          <w:rFonts w:cstheme="minorHAnsi"/>
        </w:rPr>
      </w:pPr>
      <w:hyperlink r:id="rId61" w:anchor="flow" w:tgtFrame="_blank" w:history="1">
        <w:r w:rsidR="00530B55" w:rsidRPr="00012B72">
          <w:rPr>
            <w:rStyle w:val="Hyperlink"/>
            <w:rFonts w:cstheme="minorHAnsi"/>
          </w:rPr>
          <w:t>General statement on order flow</w:t>
        </w:r>
      </w:hyperlink>
    </w:p>
    <w:p w14:paraId="1AD154AE" w14:textId="77777777" w:rsidR="00530B55" w:rsidRPr="00012B72" w:rsidRDefault="00530B55" w:rsidP="007E4833">
      <w:pPr>
        <w:pStyle w:val="BodyText"/>
        <w:jc w:val="both"/>
        <w:rPr>
          <w:rFonts w:cstheme="minorHAnsi"/>
        </w:rPr>
      </w:pPr>
      <w:r w:rsidRPr="00012B72">
        <w:rPr>
          <w:rFonts w:cstheme="minorHAnsi"/>
        </w:rPr>
        <w:t> </w:t>
      </w:r>
    </w:p>
    <w:p w14:paraId="6BAA53C0" w14:textId="77777777" w:rsidR="00530B55" w:rsidRPr="00530B55" w:rsidRDefault="00D40186" w:rsidP="007E4833">
      <w:pPr>
        <w:pStyle w:val="BodyText"/>
        <w:jc w:val="both"/>
        <w:rPr>
          <w:rFonts w:cstheme="minorHAnsi"/>
        </w:rPr>
      </w:pPr>
      <w:hyperlink r:id="rId62" w:tgtFrame="_blank" w:history="1">
        <w:r w:rsidR="00530B55" w:rsidRPr="00012B72">
          <w:rPr>
            <w:rStyle w:val="Hyperlink"/>
            <w:rFonts w:cstheme="minorHAnsi"/>
          </w:rPr>
          <w:t>SEC Rule 606 Report</w:t>
        </w:r>
      </w:hyperlink>
    </w:p>
    <w:p w14:paraId="7E143783" w14:textId="77777777" w:rsidR="00530B55" w:rsidRPr="007E4833" w:rsidRDefault="00530B55" w:rsidP="007E4833">
      <w:pPr>
        <w:pStyle w:val="BodyText"/>
        <w:jc w:val="both"/>
        <w:rPr>
          <w:rFonts w:cstheme="minorHAnsi"/>
        </w:rPr>
      </w:pPr>
    </w:p>
    <w:sectPr w:rsidR="00530B55" w:rsidRPr="007E4833" w:rsidSect="00D60D95">
      <w:footerReference w:type="even" r:id="rId63"/>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FFA2E" w14:textId="77777777" w:rsidR="00D40186" w:rsidRDefault="00D40186" w:rsidP="00260E52">
      <w:r>
        <w:separator/>
      </w:r>
    </w:p>
  </w:endnote>
  <w:endnote w:type="continuationSeparator" w:id="0">
    <w:p w14:paraId="22761AC1" w14:textId="77777777" w:rsidR="00D40186" w:rsidRDefault="00D40186" w:rsidP="0026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2" w:usb2="00000000" w:usb3="00000000" w:csb0="0000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3146897"/>
      <w:docPartObj>
        <w:docPartGallery w:val="Page Numbers (Bottom of Page)"/>
        <w:docPartUnique/>
      </w:docPartObj>
    </w:sdtPr>
    <w:sdtEndPr>
      <w:rPr>
        <w:rStyle w:val="PageNumber"/>
      </w:rPr>
    </w:sdtEndPr>
    <w:sdtContent>
      <w:p w14:paraId="7FF2FFC8" w14:textId="757F317F" w:rsidR="001372B3" w:rsidRDefault="001372B3" w:rsidP="009D25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D1D1F" w14:textId="77777777" w:rsidR="001372B3" w:rsidRDefault="00137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334345977"/>
      <w:docPartObj>
        <w:docPartGallery w:val="Page Numbers (Bottom of Page)"/>
        <w:docPartUnique/>
      </w:docPartObj>
    </w:sdtPr>
    <w:sdtEndPr>
      <w:rPr>
        <w:rStyle w:val="PageNumber"/>
      </w:rPr>
    </w:sdtEndPr>
    <w:sdtContent>
      <w:p w14:paraId="52988620" w14:textId="5FCF0DDB" w:rsidR="001372B3" w:rsidRPr="00156D0F" w:rsidRDefault="001372B3" w:rsidP="009D2581">
        <w:pPr>
          <w:pStyle w:val="Footer"/>
          <w:framePr w:wrap="none" w:vAnchor="text" w:hAnchor="margin" w:xAlign="center" w:y="1"/>
          <w:rPr>
            <w:rStyle w:val="PageNumber"/>
            <w:rFonts w:ascii="Arial" w:hAnsi="Arial" w:cs="Arial"/>
            <w:sz w:val="20"/>
            <w:szCs w:val="20"/>
          </w:rPr>
        </w:pPr>
        <w:r w:rsidRPr="00156D0F">
          <w:rPr>
            <w:rStyle w:val="PageNumber"/>
            <w:rFonts w:ascii="Arial" w:hAnsi="Arial" w:cs="Arial"/>
            <w:sz w:val="20"/>
            <w:szCs w:val="20"/>
          </w:rPr>
          <w:fldChar w:fldCharType="begin"/>
        </w:r>
        <w:r w:rsidRPr="00156D0F">
          <w:rPr>
            <w:rStyle w:val="PageNumber"/>
            <w:rFonts w:ascii="Arial" w:hAnsi="Arial" w:cs="Arial"/>
            <w:sz w:val="20"/>
            <w:szCs w:val="20"/>
          </w:rPr>
          <w:instrText xml:space="preserve"> PAGE </w:instrText>
        </w:r>
        <w:r w:rsidRPr="00156D0F">
          <w:rPr>
            <w:rStyle w:val="PageNumber"/>
            <w:rFonts w:ascii="Arial" w:hAnsi="Arial" w:cs="Arial"/>
            <w:sz w:val="20"/>
            <w:szCs w:val="20"/>
          </w:rPr>
          <w:fldChar w:fldCharType="separate"/>
        </w:r>
        <w:r>
          <w:rPr>
            <w:rStyle w:val="PageNumber"/>
            <w:rFonts w:ascii="Arial" w:hAnsi="Arial" w:cs="Arial"/>
            <w:noProof/>
            <w:sz w:val="20"/>
            <w:szCs w:val="20"/>
          </w:rPr>
          <w:t>2</w:t>
        </w:r>
        <w:r w:rsidRPr="00156D0F">
          <w:rPr>
            <w:rStyle w:val="PageNumber"/>
            <w:rFonts w:ascii="Arial" w:hAnsi="Arial" w:cs="Arial"/>
            <w:sz w:val="20"/>
            <w:szCs w:val="20"/>
          </w:rPr>
          <w:fldChar w:fldCharType="end"/>
        </w:r>
      </w:p>
    </w:sdtContent>
  </w:sdt>
  <w:p w14:paraId="13D44CF1" w14:textId="77777777" w:rsidR="001372B3" w:rsidRDefault="00137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35EF6" w14:textId="77777777" w:rsidR="00D40186" w:rsidRDefault="00D40186" w:rsidP="00260E52">
      <w:r>
        <w:separator/>
      </w:r>
    </w:p>
  </w:footnote>
  <w:footnote w:type="continuationSeparator" w:id="0">
    <w:p w14:paraId="29FF1DA3" w14:textId="77777777" w:rsidR="00D40186" w:rsidRDefault="00D40186" w:rsidP="00260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554D"/>
    <w:multiLevelType w:val="hybridMultilevel"/>
    <w:tmpl w:val="337A59D2"/>
    <w:lvl w:ilvl="0" w:tplc="04090013">
      <w:start w:val="1"/>
      <w:numFmt w:val="upperRoman"/>
      <w:lvlText w:val="%1."/>
      <w:lvlJc w:val="right"/>
      <w:pPr>
        <w:ind w:left="744" w:hanging="384"/>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B469E2"/>
    <w:multiLevelType w:val="hybridMultilevel"/>
    <w:tmpl w:val="A542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10C7"/>
    <w:multiLevelType w:val="multilevel"/>
    <w:tmpl w:val="1A905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D5D13"/>
    <w:multiLevelType w:val="hybridMultilevel"/>
    <w:tmpl w:val="BFB4D40C"/>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start w:val="1"/>
      <w:numFmt w:val="bullet"/>
      <w:lvlText w:val=""/>
      <w:lvlJc w:val="left"/>
      <w:pPr>
        <w:ind w:left="4460" w:hanging="360"/>
      </w:pPr>
      <w:rPr>
        <w:rFonts w:ascii="Wingdings" w:hAnsi="Wingdings" w:hint="default"/>
      </w:rPr>
    </w:lvl>
    <w:lvl w:ilvl="6" w:tplc="04090001">
      <w:start w:val="1"/>
      <w:numFmt w:val="bullet"/>
      <w:lvlText w:val=""/>
      <w:lvlJc w:val="left"/>
      <w:pPr>
        <w:ind w:left="5180" w:hanging="360"/>
      </w:pPr>
      <w:rPr>
        <w:rFonts w:ascii="Symbol" w:hAnsi="Symbol" w:hint="default"/>
      </w:rPr>
    </w:lvl>
    <w:lvl w:ilvl="7" w:tplc="04090003">
      <w:start w:val="1"/>
      <w:numFmt w:val="bullet"/>
      <w:lvlText w:val="o"/>
      <w:lvlJc w:val="left"/>
      <w:pPr>
        <w:ind w:left="5900" w:hanging="360"/>
      </w:pPr>
      <w:rPr>
        <w:rFonts w:ascii="Courier New" w:hAnsi="Courier New" w:cs="Courier New" w:hint="default"/>
      </w:rPr>
    </w:lvl>
    <w:lvl w:ilvl="8" w:tplc="04090005">
      <w:start w:val="1"/>
      <w:numFmt w:val="bullet"/>
      <w:lvlText w:val=""/>
      <w:lvlJc w:val="left"/>
      <w:pPr>
        <w:ind w:left="6620" w:hanging="360"/>
      </w:pPr>
      <w:rPr>
        <w:rFonts w:ascii="Wingdings" w:hAnsi="Wingdings" w:hint="default"/>
      </w:rPr>
    </w:lvl>
  </w:abstractNum>
  <w:abstractNum w:abstractNumId="4" w15:restartNumberingAfterBreak="0">
    <w:nsid w:val="215560D2"/>
    <w:multiLevelType w:val="multilevel"/>
    <w:tmpl w:val="3604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052D2"/>
    <w:multiLevelType w:val="hybridMultilevel"/>
    <w:tmpl w:val="F650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35307"/>
    <w:multiLevelType w:val="hybridMultilevel"/>
    <w:tmpl w:val="53BA873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2F4472A3"/>
    <w:multiLevelType w:val="hybridMultilevel"/>
    <w:tmpl w:val="47A616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141441"/>
    <w:multiLevelType w:val="hybridMultilevel"/>
    <w:tmpl w:val="7BBA1F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9A07694"/>
    <w:multiLevelType w:val="multilevel"/>
    <w:tmpl w:val="BF06B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922614"/>
    <w:multiLevelType w:val="multilevel"/>
    <w:tmpl w:val="0DB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71EAC"/>
    <w:multiLevelType w:val="hybridMultilevel"/>
    <w:tmpl w:val="B6A0D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3B19C9"/>
    <w:multiLevelType w:val="hybridMultilevel"/>
    <w:tmpl w:val="C0504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D7D4081"/>
    <w:multiLevelType w:val="hybridMultilevel"/>
    <w:tmpl w:val="C92C2D2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653448C7"/>
    <w:multiLevelType w:val="hybridMultilevel"/>
    <w:tmpl w:val="E4EEF97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15:restartNumberingAfterBreak="0">
    <w:nsid w:val="67A90ECF"/>
    <w:multiLevelType w:val="multilevel"/>
    <w:tmpl w:val="992A7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CB43B4"/>
    <w:multiLevelType w:val="hybridMultilevel"/>
    <w:tmpl w:val="6EC05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12444E"/>
    <w:multiLevelType w:val="hybridMultilevel"/>
    <w:tmpl w:val="586EF2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7ED1D0A"/>
    <w:multiLevelType w:val="hybridMultilevel"/>
    <w:tmpl w:val="A0348D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D0C1798"/>
    <w:multiLevelType w:val="hybridMultilevel"/>
    <w:tmpl w:val="D19CCD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D7A0F2D"/>
    <w:multiLevelType w:val="multilevel"/>
    <w:tmpl w:val="B4F6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19"/>
  </w:num>
  <w:num w:numId="4">
    <w:abstractNumId w:val="7"/>
  </w:num>
  <w:num w:numId="5">
    <w:abstractNumId w:val="17"/>
  </w:num>
  <w:num w:numId="6">
    <w:abstractNumId w:val="1"/>
  </w:num>
  <w:num w:numId="7">
    <w:abstractNumId w:val="6"/>
  </w:num>
  <w:num w:numId="8">
    <w:abstractNumId w:val="13"/>
  </w:num>
  <w:num w:numId="9">
    <w:abstractNumId w:val="8"/>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2"/>
  </w:num>
  <w:num w:numId="16">
    <w:abstractNumId w:val="16"/>
  </w:num>
  <w:num w:numId="17">
    <w:abstractNumId w:val="3"/>
  </w:num>
  <w:num w:numId="18">
    <w:abstractNumId w:val="0"/>
  </w:num>
  <w:num w:numId="19">
    <w:abstractNumId w:val="11"/>
  </w:num>
  <w:num w:numId="20">
    <w:abstractNumId w:val="5"/>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17"/>
    <w:rsid w:val="000008CC"/>
    <w:rsid w:val="0000210D"/>
    <w:rsid w:val="000023C8"/>
    <w:rsid w:val="00012B72"/>
    <w:rsid w:val="00014F7E"/>
    <w:rsid w:val="00022954"/>
    <w:rsid w:val="000335FE"/>
    <w:rsid w:val="00050F8E"/>
    <w:rsid w:val="00086379"/>
    <w:rsid w:val="00086AF6"/>
    <w:rsid w:val="00092919"/>
    <w:rsid w:val="00096571"/>
    <w:rsid w:val="00096E22"/>
    <w:rsid w:val="000A24C1"/>
    <w:rsid w:val="000A2655"/>
    <w:rsid w:val="000B6CFA"/>
    <w:rsid w:val="000B6E3E"/>
    <w:rsid w:val="000C335E"/>
    <w:rsid w:val="000E732E"/>
    <w:rsid w:val="00102571"/>
    <w:rsid w:val="001140BC"/>
    <w:rsid w:val="00115602"/>
    <w:rsid w:val="00120237"/>
    <w:rsid w:val="0012079C"/>
    <w:rsid w:val="001372B3"/>
    <w:rsid w:val="00156D0F"/>
    <w:rsid w:val="00163514"/>
    <w:rsid w:val="00164740"/>
    <w:rsid w:val="001765A4"/>
    <w:rsid w:val="00196497"/>
    <w:rsid w:val="001B1017"/>
    <w:rsid w:val="001E614C"/>
    <w:rsid w:val="001F1E55"/>
    <w:rsid w:val="00205B5D"/>
    <w:rsid w:val="0022215D"/>
    <w:rsid w:val="002225BC"/>
    <w:rsid w:val="00230634"/>
    <w:rsid w:val="00260E52"/>
    <w:rsid w:val="00263006"/>
    <w:rsid w:val="002662A3"/>
    <w:rsid w:val="0026732A"/>
    <w:rsid w:val="00267FC3"/>
    <w:rsid w:val="00276E4A"/>
    <w:rsid w:val="0027793D"/>
    <w:rsid w:val="00280501"/>
    <w:rsid w:val="00281DEF"/>
    <w:rsid w:val="00290A3D"/>
    <w:rsid w:val="002B5BA6"/>
    <w:rsid w:val="002C3B61"/>
    <w:rsid w:val="002C7FCC"/>
    <w:rsid w:val="002D5415"/>
    <w:rsid w:val="002D5AC7"/>
    <w:rsid w:val="002E164F"/>
    <w:rsid w:val="003066CF"/>
    <w:rsid w:val="00311D3D"/>
    <w:rsid w:val="0031286E"/>
    <w:rsid w:val="00323A58"/>
    <w:rsid w:val="0034154A"/>
    <w:rsid w:val="00350C00"/>
    <w:rsid w:val="00357DB4"/>
    <w:rsid w:val="003D2A83"/>
    <w:rsid w:val="003E0B07"/>
    <w:rsid w:val="003E33BD"/>
    <w:rsid w:val="003E50B2"/>
    <w:rsid w:val="003F1F34"/>
    <w:rsid w:val="003F28C5"/>
    <w:rsid w:val="003F7D94"/>
    <w:rsid w:val="00410EAF"/>
    <w:rsid w:val="00415EFC"/>
    <w:rsid w:val="00417B0E"/>
    <w:rsid w:val="0042734C"/>
    <w:rsid w:val="00437A72"/>
    <w:rsid w:val="0046115E"/>
    <w:rsid w:val="004927D7"/>
    <w:rsid w:val="004B0A12"/>
    <w:rsid w:val="004D2468"/>
    <w:rsid w:val="004D4368"/>
    <w:rsid w:val="004D7AA0"/>
    <w:rsid w:val="004E4427"/>
    <w:rsid w:val="004F26A0"/>
    <w:rsid w:val="004F7A67"/>
    <w:rsid w:val="00510E79"/>
    <w:rsid w:val="00515D6C"/>
    <w:rsid w:val="0052402B"/>
    <w:rsid w:val="00530B55"/>
    <w:rsid w:val="0053194A"/>
    <w:rsid w:val="0056085C"/>
    <w:rsid w:val="00561B0F"/>
    <w:rsid w:val="00571628"/>
    <w:rsid w:val="005805AF"/>
    <w:rsid w:val="005853B6"/>
    <w:rsid w:val="005A6C2C"/>
    <w:rsid w:val="005B7B55"/>
    <w:rsid w:val="005C2D4A"/>
    <w:rsid w:val="005C6BD0"/>
    <w:rsid w:val="005D7529"/>
    <w:rsid w:val="005F6FFD"/>
    <w:rsid w:val="00612B87"/>
    <w:rsid w:val="00634756"/>
    <w:rsid w:val="00640255"/>
    <w:rsid w:val="006525FA"/>
    <w:rsid w:val="00677978"/>
    <w:rsid w:val="00680094"/>
    <w:rsid w:val="00683EA3"/>
    <w:rsid w:val="006B7837"/>
    <w:rsid w:val="006C09F2"/>
    <w:rsid w:val="006D16B4"/>
    <w:rsid w:val="006F26DC"/>
    <w:rsid w:val="006F4572"/>
    <w:rsid w:val="00717314"/>
    <w:rsid w:val="00730A37"/>
    <w:rsid w:val="0073460E"/>
    <w:rsid w:val="00735BEF"/>
    <w:rsid w:val="007367BB"/>
    <w:rsid w:val="0074113E"/>
    <w:rsid w:val="007418C0"/>
    <w:rsid w:val="00776E40"/>
    <w:rsid w:val="007902E3"/>
    <w:rsid w:val="007942B1"/>
    <w:rsid w:val="007A30AA"/>
    <w:rsid w:val="007A6A73"/>
    <w:rsid w:val="007A7A63"/>
    <w:rsid w:val="007B5146"/>
    <w:rsid w:val="007B6646"/>
    <w:rsid w:val="007C0ABF"/>
    <w:rsid w:val="007C3C41"/>
    <w:rsid w:val="007C47CE"/>
    <w:rsid w:val="007D4817"/>
    <w:rsid w:val="007D4EB2"/>
    <w:rsid w:val="007D62DE"/>
    <w:rsid w:val="007E0680"/>
    <w:rsid w:val="007E4833"/>
    <w:rsid w:val="00802075"/>
    <w:rsid w:val="00804294"/>
    <w:rsid w:val="00806966"/>
    <w:rsid w:val="008110A3"/>
    <w:rsid w:val="00817C9C"/>
    <w:rsid w:val="00844FA1"/>
    <w:rsid w:val="00846A2D"/>
    <w:rsid w:val="00851880"/>
    <w:rsid w:val="00874D4C"/>
    <w:rsid w:val="00883DFD"/>
    <w:rsid w:val="00893044"/>
    <w:rsid w:val="008A4563"/>
    <w:rsid w:val="008D3722"/>
    <w:rsid w:val="008D71F5"/>
    <w:rsid w:val="008E388A"/>
    <w:rsid w:val="008F5EDA"/>
    <w:rsid w:val="009007D5"/>
    <w:rsid w:val="0091655A"/>
    <w:rsid w:val="0092199F"/>
    <w:rsid w:val="0093601B"/>
    <w:rsid w:val="00945A8B"/>
    <w:rsid w:val="00965B6F"/>
    <w:rsid w:val="00975695"/>
    <w:rsid w:val="00981831"/>
    <w:rsid w:val="009A70CA"/>
    <w:rsid w:val="009B157D"/>
    <w:rsid w:val="009C12A3"/>
    <w:rsid w:val="009C1383"/>
    <w:rsid w:val="009C2F50"/>
    <w:rsid w:val="009C50A7"/>
    <w:rsid w:val="009D2581"/>
    <w:rsid w:val="009D534E"/>
    <w:rsid w:val="009F04E0"/>
    <w:rsid w:val="009F442C"/>
    <w:rsid w:val="00A0110F"/>
    <w:rsid w:val="00A01E16"/>
    <w:rsid w:val="00A05F76"/>
    <w:rsid w:val="00A179F6"/>
    <w:rsid w:val="00A200F6"/>
    <w:rsid w:val="00A253E8"/>
    <w:rsid w:val="00A258CC"/>
    <w:rsid w:val="00A3411D"/>
    <w:rsid w:val="00A40828"/>
    <w:rsid w:val="00A65F21"/>
    <w:rsid w:val="00A67061"/>
    <w:rsid w:val="00A67DEE"/>
    <w:rsid w:val="00A829CB"/>
    <w:rsid w:val="00AB39D7"/>
    <w:rsid w:val="00AB3CED"/>
    <w:rsid w:val="00AC31E7"/>
    <w:rsid w:val="00AD3F28"/>
    <w:rsid w:val="00B016D3"/>
    <w:rsid w:val="00B11641"/>
    <w:rsid w:val="00B154CC"/>
    <w:rsid w:val="00B27343"/>
    <w:rsid w:val="00B43951"/>
    <w:rsid w:val="00B56B2B"/>
    <w:rsid w:val="00B80381"/>
    <w:rsid w:val="00B80C22"/>
    <w:rsid w:val="00B819A2"/>
    <w:rsid w:val="00B91885"/>
    <w:rsid w:val="00BA0CEE"/>
    <w:rsid w:val="00BB5817"/>
    <w:rsid w:val="00BC1EFD"/>
    <w:rsid w:val="00BC7F61"/>
    <w:rsid w:val="00BD092D"/>
    <w:rsid w:val="00BD4C4F"/>
    <w:rsid w:val="00BF12EA"/>
    <w:rsid w:val="00BF67A3"/>
    <w:rsid w:val="00C0196E"/>
    <w:rsid w:val="00C051CD"/>
    <w:rsid w:val="00C10E0D"/>
    <w:rsid w:val="00C15DB1"/>
    <w:rsid w:val="00C1681E"/>
    <w:rsid w:val="00C2136E"/>
    <w:rsid w:val="00C372E6"/>
    <w:rsid w:val="00C37921"/>
    <w:rsid w:val="00C63430"/>
    <w:rsid w:val="00C64A01"/>
    <w:rsid w:val="00C72C61"/>
    <w:rsid w:val="00C73BA5"/>
    <w:rsid w:val="00C81DD9"/>
    <w:rsid w:val="00C86C02"/>
    <w:rsid w:val="00CA1189"/>
    <w:rsid w:val="00CA205E"/>
    <w:rsid w:val="00CB10AA"/>
    <w:rsid w:val="00CB3F54"/>
    <w:rsid w:val="00CD07B0"/>
    <w:rsid w:val="00CD285B"/>
    <w:rsid w:val="00CD7CEC"/>
    <w:rsid w:val="00CF4F01"/>
    <w:rsid w:val="00D17699"/>
    <w:rsid w:val="00D23A03"/>
    <w:rsid w:val="00D40186"/>
    <w:rsid w:val="00D4304A"/>
    <w:rsid w:val="00D44A26"/>
    <w:rsid w:val="00D51208"/>
    <w:rsid w:val="00D52FA7"/>
    <w:rsid w:val="00D60D95"/>
    <w:rsid w:val="00D862F3"/>
    <w:rsid w:val="00D96553"/>
    <w:rsid w:val="00DA1D99"/>
    <w:rsid w:val="00DB3371"/>
    <w:rsid w:val="00DD1676"/>
    <w:rsid w:val="00DD7E5D"/>
    <w:rsid w:val="00DE3302"/>
    <w:rsid w:val="00DF008E"/>
    <w:rsid w:val="00E03779"/>
    <w:rsid w:val="00E21AE2"/>
    <w:rsid w:val="00E22C68"/>
    <w:rsid w:val="00E25A44"/>
    <w:rsid w:val="00E266A6"/>
    <w:rsid w:val="00E26772"/>
    <w:rsid w:val="00E30E4F"/>
    <w:rsid w:val="00E42DBE"/>
    <w:rsid w:val="00E82A4F"/>
    <w:rsid w:val="00E87B1E"/>
    <w:rsid w:val="00EA2794"/>
    <w:rsid w:val="00EC058E"/>
    <w:rsid w:val="00ED2C52"/>
    <w:rsid w:val="00EE5452"/>
    <w:rsid w:val="00EE6B10"/>
    <w:rsid w:val="00F02D6D"/>
    <w:rsid w:val="00F072CF"/>
    <w:rsid w:val="00F13A83"/>
    <w:rsid w:val="00F34451"/>
    <w:rsid w:val="00F37DF0"/>
    <w:rsid w:val="00F4460C"/>
    <w:rsid w:val="00F54B0B"/>
    <w:rsid w:val="00F60A9C"/>
    <w:rsid w:val="00F64377"/>
    <w:rsid w:val="00F70A02"/>
    <w:rsid w:val="00FA118E"/>
    <w:rsid w:val="00FC15A6"/>
    <w:rsid w:val="00FE73AE"/>
    <w:rsid w:val="00FF2655"/>
    <w:rsid w:val="00FF7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B78F6"/>
  <w15:docId w15:val="{EE5D60EF-29B7-CE48-8F79-3A9CB77F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CE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E266A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26772"/>
    <w:pPr>
      <w:keepNext/>
      <w:keepLines/>
      <w:spacing w:before="200"/>
      <w:outlineLvl w:val="2"/>
    </w:pPr>
    <w:rPr>
      <w:rFonts w:asciiTheme="majorHAnsi" w:eastAsiaTheme="majorEastAsia" w:hAnsiTheme="majorHAnsi" w:cstheme="majorBidi"/>
      <w:i/>
      <w:iCs/>
      <w:color w:val="4472C4" w:themeColor="accent1"/>
      <w:u w:val="single"/>
    </w:rPr>
  </w:style>
  <w:style w:type="paragraph" w:styleId="Heading4">
    <w:name w:val="heading 4"/>
    <w:basedOn w:val="Normal"/>
    <w:next w:val="Normal"/>
    <w:link w:val="Heading4Char"/>
    <w:uiPriority w:val="9"/>
    <w:unhideWhenUsed/>
    <w:qFormat/>
    <w:rsid w:val="00E26772"/>
    <w:pPr>
      <w:keepNext/>
      <w:keepLines/>
      <w:spacing w:before="200"/>
      <w:outlineLvl w:val="3"/>
    </w:pPr>
    <w:rPr>
      <w:rFonts w:asciiTheme="majorHAnsi" w:eastAsiaTheme="majorEastAsia" w:hAnsiTheme="majorHAnsi" w:cstheme="majorBidi"/>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0E52"/>
    <w:pPr>
      <w:tabs>
        <w:tab w:val="center" w:pos="4680"/>
        <w:tab w:val="right" w:pos="9360"/>
      </w:tabs>
    </w:pPr>
  </w:style>
  <w:style w:type="character" w:customStyle="1" w:styleId="FooterChar">
    <w:name w:val="Footer Char"/>
    <w:basedOn w:val="DefaultParagraphFont"/>
    <w:link w:val="Footer"/>
    <w:uiPriority w:val="99"/>
    <w:rsid w:val="00260E52"/>
  </w:style>
  <w:style w:type="character" w:styleId="PageNumber">
    <w:name w:val="page number"/>
    <w:basedOn w:val="DefaultParagraphFont"/>
    <w:uiPriority w:val="99"/>
    <w:semiHidden/>
    <w:unhideWhenUsed/>
    <w:rsid w:val="00260E52"/>
  </w:style>
  <w:style w:type="paragraph" w:styleId="ListParagraph">
    <w:name w:val="List Paragraph"/>
    <w:basedOn w:val="Normal"/>
    <w:uiPriority w:val="34"/>
    <w:qFormat/>
    <w:rsid w:val="006F4572"/>
    <w:pPr>
      <w:ind w:left="720"/>
      <w:contextualSpacing/>
    </w:pPr>
  </w:style>
  <w:style w:type="paragraph" w:styleId="NormalWeb">
    <w:name w:val="Normal (Web)"/>
    <w:basedOn w:val="Normal"/>
    <w:uiPriority w:val="99"/>
    <w:unhideWhenUsed/>
    <w:rsid w:val="00510E7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10E79"/>
    <w:rPr>
      <w:color w:val="0000FF"/>
      <w:u w:val="single"/>
    </w:rPr>
  </w:style>
  <w:style w:type="paragraph" w:styleId="BalloonText">
    <w:name w:val="Balloon Text"/>
    <w:basedOn w:val="Normal"/>
    <w:link w:val="BalloonTextChar"/>
    <w:uiPriority w:val="99"/>
    <w:semiHidden/>
    <w:unhideWhenUsed/>
    <w:rsid w:val="00C213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3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6379"/>
    <w:rPr>
      <w:sz w:val="16"/>
      <w:szCs w:val="16"/>
    </w:rPr>
  </w:style>
  <w:style w:type="paragraph" w:styleId="CommentText">
    <w:name w:val="annotation text"/>
    <w:basedOn w:val="Normal"/>
    <w:link w:val="CommentTextChar"/>
    <w:uiPriority w:val="99"/>
    <w:semiHidden/>
    <w:unhideWhenUsed/>
    <w:rsid w:val="00086379"/>
    <w:rPr>
      <w:sz w:val="20"/>
      <w:szCs w:val="20"/>
    </w:rPr>
  </w:style>
  <w:style w:type="character" w:customStyle="1" w:styleId="CommentTextChar">
    <w:name w:val="Comment Text Char"/>
    <w:basedOn w:val="DefaultParagraphFont"/>
    <w:link w:val="CommentText"/>
    <w:uiPriority w:val="99"/>
    <w:semiHidden/>
    <w:rsid w:val="00086379"/>
    <w:rPr>
      <w:sz w:val="20"/>
      <w:szCs w:val="20"/>
    </w:rPr>
  </w:style>
  <w:style w:type="paragraph" w:styleId="CommentSubject">
    <w:name w:val="annotation subject"/>
    <w:basedOn w:val="CommentText"/>
    <w:next w:val="CommentText"/>
    <w:link w:val="CommentSubjectChar"/>
    <w:uiPriority w:val="99"/>
    <w:semiHidden/>
    <w:unhideWhenUsed/>
    <w:rsid w:val="00086379"/>
    <w:rPr>
      <w:b/>
      <w:bCs/>
    </w:rPr>
  </w:style>
  <w:style w:type="character" w:customStyle="1" w:styleId="CommentSubjectChar">
    <w:name w:val="Comment Subject Char"/>
    <w:basedOn w:val="CommentTextChar"/>
    <w:link w:val="CommentSubject"/>
    <w:uiPriority w:val="99"/>
    <w:semiHidden/>
    <w:rsid w:val="00086379"/>
    <w:rPr>
      <w:b/>
      <w:bCs/>
      <w:sz w:val="20"/>
      <w:szCs w:val="20"/>
    </w:rPr>
  </w:style>
  <w:style w:type="paragraph" w:customStyle="1" w:styleId="Default">
    <w:name w:val="Default"/>
    <w:rsid w:val="003F7D94"/>
    <w:pPr>
      <w:autoSpaceDE w:val="0"/>
      <w:autoSpaceDN w:val="0"/>
      <w:adjustRightInd w:val="0"/>
    </w:pPr>
    <w:rPr>
      <w:rFonts w:ascii="Garamond" w:hAnsi="Garamond" w:cs="Garamond"/>
      <w:color w:val="000000"/>
    </w:rPr>
  </w:style>
  <w:style w:type="character" w:customStyle="1" w:styleId="UnresolvedMention1">
    <w:name w:val="Unresolved Mention1"/>
    <w:basedOn w:val="DefaultParagraphFont"/>
    <w:uiPriority w:val="99"/>
    <w:semiHidden/>
    <w:unhideWhenUsed/>
    <w:rsid w:val="004D2468"/>
    <w:rPr>
      <w:color w:val="605E5C"/>
      <w:shd w:val="clear" w:color="auto" w:fill="E1DFDD"/>
    </w:rPr>
  </w:style>
  <w:style w:type="paragraph" w:styleId="Header">
    <w:name w:val="header"/>
    <w:basedOn w:val="Normal"/>
    <w:link w:val="HeaderChar"/>
    <w:uiPriority w:val="99"/>
    <w:unhideWhenUsed/>
    <w:rsid w:val="000335FE"/>
    <w:pPr>
      <w:tabs>
        <w:tab w:val="center" w:pos="4680"/>
        <w:tab w:val="right" w:pos="9360"/>
      </w:tabs>
    </w:pPr>
  </w:style>
  <w:style w:type="character" w:customStyle="1" w:styleId="HeaderChar">
    <w:name w:val="Header Char"/>
    <w:basedOn w:val="DefaultParagraphFont"/>
    <w:link w:val="Header"/>
    <w:uiPriority w:val="99"/>
    <w:rsid w:val="000335FE"/>
  </w:style>
  <w:style w:type="character" w:customStyle="1" w:styleId="Heading1Char">
    <w:name w:val="Heading 1 Char"/>
    <w:basedOn w:val="DefaultParagraphFont"/>
    <w:link w:val="Heading1"/>
    <w:uiPriority w:val="9"/>
    <w:rsid w:val="00BA0CEE"/>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E266A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26772"/>
    <w:rPr>
      <w:rFonts w:asciiTheme="majorHAnsi" w:eastAsiaTheme="majorEastAsia" w:hAnsiTheme="majorHAnsi" w:cstheme="majorBidi"/>
      <w:i/>
      <w:iCs/>
      <w:color w:val="4472C4" w:themeColor="accent1"/>
      <w:u w:val="single"/>
    </w:rPr>
  </w:style>
  <w:style w:type="character" w:customStyle="1" w:styleId="Heading4Char">
    <w:name w:val="Heading 4 Char"/>
    <w:basedOn w:val="DefaultParagraphFont"/>
    <w:link w:val="Heading4"/>
    <w:uiPriority w:val="9"/>
    <w:rsid w:val="00E26772"/>
    <w:rPr>
      <w:rFonts w:asciiTheme="majorHAnsi" w:eastAsiaTheme="majorEastAsia" w:hAnsiTheme="majorHAnsi" w:cstheme="majorBidi"/>
      <w:i/>
      <w:iCs/>
      <w:color w:val="4472C4" w:themeColor="accent1"/>
    </w:rPr>
  </w:style>
  <w:style w:type="character" w:styleId="FollowedHyperlink">
    <w:name w:val="FollowedHyperlink"/>
    <w:basedOn w:val="DefaultParagraphFont"/>
    <w:uiPriority w:val="99"/>
    <w:semiHidden/>
    <w:unhideWhenUsed/>
    <w:rsid w:val="0074113E"/>
    <w:rPr>
      <w:color w:val="954F72" w:themeColor="followedHyperlink"/>
      <w:u w:val="single"/>
    </w:rPr>
  </w:style>
  <w:style w:type="paragraph" w:styleId="TOC1">
    <w:name w:val="toc 1"/>
    <w:basedOn w:val="Normal"/>
    <w:next w:val="Normal"/>
    <w:autoRedefine/>
    <w:uiPriority w:val="39"/>
    <w:unhideWhenUsed/>
    <w:rsid w:val="007D4817"/>
    <w:pPr>
      <w:spacing w:before="240" w:after="120"/>
    </w:pPr>
    <w:rPr>
      <w:b/>
      <w:caps/>
      <w:sz w:val="22"/>
      <w:szCs w:val="22"/>
      <w:u w:val="single"/>
    </w:rPr>
  </w:style>
  <w:style w:type="paragraph" w:styleId="TOC2">
    <w:name w:val="toc 2"/>
    <w:basedOn w:val="Normal"/>
    <w:next w:val="Normal"/>
    <w:autoRedefine/>
    <w:uiPriority w:val="39"/>
    <w:unhideWhenUsed/>
    <w:rsid w:val="007D4817"/>
    <w:rPr>
      <w:b/>
      <w:smallCaps/>
      <w:sz w:val="22"/>
      <w:szCs w:val="22"/>
    </w:rPr>
  </w:style>
  <w:style w:type="paragraph" w:styleId="TOC3">
    <w:name w:val="toc 3"/>
    <w:basedOn w:val="Normal"/>
    <w:next w:val="Normal"/>
    <w:autoRedefine/>
    <w:uiPriority w:val="39"/>
    <w:unhideWhenUsed/>
    <w:rsid w:val="007D4817"/>
    <w:rPr>
      <w:smallCaps/>
      <w:sz w:val="22"/>
      <w:szCs w:val="22"/>
    </w:rPr>
  </w:style>
  <w:style w:type="paragraph" w:styleId="TOC4">
    <w:name w:val="toc 4"/>
    <w:basedOn w:val="Normal"/>
    <w:next w:val="Normal"/>
    <w:autoRedefine/>
    <w:uiPriority w:val="39"/>
    <w:unhideWhenUsed/>
    <w:rsid w:val="007D4817"/>
    <w:rPr>
      <w:sz w:val="22"/>
      <w:szCs w:val="22"/>
    </w:rPr>
  </w:style>
  <w:style w:type="paragraph" w:styleId="TOC5">
    <w:name w:val="toc 5"/>
    <w:basedOn w:val="Normal"/>
    <w:next w:val="Normal"/>
    <w:autoRedefine/>
    <w:uiPriority w:val="39"/>
    <w:unhideWhenUsed/>
    <w:rsid w:val="007D4817"/>
    <w:rPr>
      <w:sz w:val="22"/>
      <w:szCs w:val="22"/>
    </w:rPr>
  </w:style>
  <w:style w:type="paragraph" w:styleId="TOC6">
    <w:name w:val="toc 6"/>
    <w:basedOn w:val="Normal"/>
    <w:next w:val="Normal"/>
    <w:autoRedefine/>
    <w:uiPriority w:val="39"/>
    <w:unhideWhenUsed/>
    <w:rsid w:val="007D4817"/>
    <w:rPr>
      <w:sz w:val="22"/>
      <w:szCs w:val="22"/>
    </w:rPr>
  </w:style>
  <w:style w:type="paragraph" w:styleId="TOC7">
    <w:name w:val="toc 7"/>
    <w:basedOn w:val="Normal"/>
    <w:next w:val="Normal"/>
    <w:autoRedefine/>
    <w:uiPriority w:val="39"/>
    <w:unhideWhenUsed/>
    <w:rsid w:val="007D4817"/>
    <w:rPr>
      <w:sz w:val="22"/>
      <w:szCs w:val="22"/>
    </w:rPr>
  </w:style>
  <w:style w:type="paragraph" w:styleId="TOC8">
    <w:name w:val="toc 8"/>
    <w:basedOn w:val="Normal"/>
    <w:next w:val="Normal"/>
    <w:autoRedefine/>
    <w:uiPriority w:val="39"/>
    <w:unhideWhenUsed/>
    <w:rsid w:val="007D4817"/>
    <w:rPr>
      <w:sz w:val="22"/>
      <w:szCs w:val="22"/>
    </w:rPr>
  </w:style>
  <w:style w:type="paragraph" w:styleId="TOC9">
    <w:name w:val="toc 9"/>
    <w:basedOn w:val="Normal"/>
    <w:next w:val="Normal"/>
    <w:autoRedefine/>
    <w:uiPriority w:val="39"/>
    <w:unhideWhenUsed/>
    <w:rsid w:val="007D4817"/>
    <w:rPr>
      <w:sz w:val="22"/>
      <w:szCs w:val="22"/>
    </w:rPr>
  </w:style>
  <w:style w:type="paragraph" w:styleId="BodyText">
    <w:name w:val="Body Text"/>
    <w:basedOn w:val="Normal"/>
    <w:link w:val="BodyTextChar"/>
    <w:uiPriority w:val="1"/>
    <w:qFormat/>
    <w:rsid w:val="00BD4C4F"/>
    <w:pPr>
      <w:widowControl w:val="0"/>
      <w:autoSpaceDE w:val="0"/>
      <w:autoSpaceDN w:val="0"/>
    </w:pPr>
    <w:rPr>
      <w:rFonts w:eastAsia="Times New Roman" w:cs="Times New Roman"/>
      <w:sz w:val="22"/>
      <w:szCs w:val="22"/>
      <w:lang w:bidi="en-US"/>
    </w:rPr>
  </w:style>
  <w:style w:type="character" w:customStyle="1" w:styleId="BodyTextChar">
    <w:name w:val="Body Text Char"/>
    <w:basedOn w:val="DefaultParagraphFont"/>
    <w:link w:val="BodyText"/>
    <w:uiPriority w:val="1"/>
    <w:rsid w:val="00BD4C4F"/>
    <w:rPr>
      <w:rFonts w:eastAsia="Times New Roman" w:cs="Times New Roman"/>
      <w:sz w:val="22"/>
      <w:szCs w:val="22"/>
      <w:lang w:bidi="en-US"/>
    </w:rPr>
  </w:style>
  <w:style w:type="table" w:styleId="LightShading-Accent1">
    <w:name w:val="Light Shading Accent 1"/>
    <w:basedOn w:val="TableNormal"/>
    <w:uiPriority w:val="60"/>
    <w:unhideWhenUsed/>
    <w:rsid w:val="001E614C"/>
    <w:rPr>
      <w:rFonts w:eastAsiaTheme="minorEastAsia"/>
      <w:color w:val="2F5496" w:themeColor="accent1" w:themeShade="BF"/>
      <w:sz w:val="22"/>
      <w:szCs w:val="22"/>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caps">
    <w:name w:val="caps"/>
    <w:basedOn w:val="DefaultParagraphFont"/>
    <w:rsid w:val="00C051CD"/>
  </w:style>
  <w:style w:type="character" w:customStyle="1" w:styleId="apple-converted-space">
    <w:name w:val="apple-converted-space"/>
    <w:basedOn w:val="DefaultParagraphFont"/>
    <w:rsid w:val="00C37921"/>
  </w:style>
  <w:style w:type="character" w:styleId="Strong">
    <w:name w:val="Strong"/>
    <w:basedOn w:val="DefaultParagraphFont"/>
    <w:uiPriority w:val="22"/>
    <w:qFormat/>
    <w:rsid w:val="00C37921"/>
    <w:rPr>
      <w:b/>
      <w:bCs/>
    </w:rPr>
  </w:style>
  <w:style w:type="character" w:styleId="UnresolvedMention">
    <w:name w:val="Unresolved Mention"/>
    <w:basedOn w:val="DefaultParagraphFont"/>
    <w:uiPriority w:val="99"/>
    <w:semiHidden/>
    <w:unhideWhenUsed/>
    <w:rsid w:val="00530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5715">
      <w:bodyDiv w:val="1"/>
      <w:marLeft w:val="0"/>
      <w:marRight w:val="0"/>
      <w:marTop w:val="0"/>
      <w:marBottom w:val="0"/>
      <w:divBdr>
        <w:top w:val="none" w:sz="0" w:space="0" w:color="auto"/>
        <w:left w:val="none" w:sz="0" w:space="0" w:color="auto"/>
        <w:bottom w:val="none" w:sz="0" w:space="0" w:color="auto"/>
        <w:right w:val="none" w:sz="0" w:space="0" w:color="auto"/>
      </w:divBdr>
    </w:div>
    <w:div w:id="168758952">
      <w:bodyDiv w:val="1"/>
      <w:marLeft w:val="0"/>
      <w:marRight w:val="0"/>
      <w:marTop w:val="0"/>
      <w:marBottom w:val="0"/>
      <w:divBdr>
        <w:top w:val="none" w:sz="0" w:space="0" w:color="auto"/>
        <w:left w:val="none" w:sz="0" w:space="0" w:color="auto"/>
        <w:bottom w:val="none" w:sz="0" w:space="0" w:color="auto"/>
        <w:right w:val="none" w:sz="0" w:space="0" w:color="auto"/>
      </w:divBdr>
    </w:div>
    <w:div w:id="1061095855">
      <w:bodyDiv w:val="1"/>
      <w:marLeft w:val="0"/>
      <w:marRight w:val="0"/>
      <w:marTop w:val="0"/>
      <w:marBottom w:val="0"/>
      <w:divBdr>
        <w:top w:val="none" w:sz="0" w:space="0" w:color="auto"/>
        <w:left w:val="none" w:sz="0" w:space="0" w:color="auto"/>
        <w:bottom w:val="none" w:sz="0" w:space="0" w:color="auto"/>
        <w:right w:val="none" w:sz="0" w:space="0" w:color="auto"/>
      </w:divBdr>
      <w:divsChild>
        <w:div w:id="1136601274">
          <w:marLeft w:val="0"/>
          <w:marRight w:val="0"/>
          <w:marTop w:val="0"/>
          <w:marBottom w:val="0"/>
          <w:divBdr>
            <w:top w:val="none" w:sz="0" w:space="0" w:color="auto"/>
            <w:left w:val="none" w:sz="0" w:space="0" w:color="auto"/>
            <w:bottom w:val="none" w:sz="0" w:space="0" w:color="auto"/>
            <w:right w:val="none" w:sz="0" w:space="0" w:color="auto"/>
          </w:divBdr>
        </w:div>
        <w:div w:id="180241412">
          <w:marLeft w:val="0"/>
          <w:marRight w:val="0"/>
          <w:marTop w:val="0"/>
          <w:marBottom w:val="0"/>
          <w:divBdr>
            <w:top w:val="none" w:sz="0" w:space="0" w:color="auto"/>
            <w:left w:val="none" w:sz="0" w:space="0" w:color="auto"/>
            <w:bottom w:val="none" w:sz="0" w:space="0" w:color="auto"/>
            <w:right w:val="none" w:sz="0" w:space="0" w:color="auto"/>
          </w:divBdr>
        </w:div>
        <w:div w:id="1602910665">
          <w:marLeft w:val="0"/>
          <w:marRight w:val="0"/>
          <w:marTop w:val="0"/>
          <w:marBottom w:val="0"/>
          <w:divBdr>
            <w:top w:val="none" w:sz="0" w:space="0" w:color="auto"/>
            <w:left w:val="none" w:sz="0" w:space="0" w:color="auto"/>
            <w:bottom w:val="none" w:sz="0" w:space="0" w:color="auto"/>
            <w:right w:val="none" w:sz="0" w:space="0" w:color="auto"/>
          </w:divBdr>
        </w:div>
        <w:div w:id="1172841169">
          <w:marLeft w:val="0"/>
          <w:marRight w:val="0"/>
          <w:marTop w:val="0"/>
          <w:marBottom w:val="0"/>
          <w:divBdr>
            <w:top w:val="none" w:sz="0" w:space="0" w:color="auto"/>
            <w:left w:val="none" w:sz="0" w:space="0" w:color="auto"/>
            <w:bottom w:val="none" w:sz="0" w:space="0" w:color="auto"/>
            <w:right w:val="none" w:sz="0" w:space="0" w:color="auto"/>
          </w:divBdr>
        </w:div>
      </w:divsChild>
    </w:div>
    <w:div w:id="1132164697">
      <w:bodyDiv w:val="1"/>
      <w:marLeft w:val="0"/>
      <w:marRight w:val="0"/>
      <w:marTop w:val="0"/>
      <w:marBottom w:val="0"/>
      <w:divBdr>
        <w:top w:val="none" w:sz="0" w:space="0" w:color="auto"/>
        <w:left w:val="none" w:sz="0" w:space="0" w:color="auto"/>
        <w:bottom w:val="none" w:sz="0" w:space="0" w:color="auto"/>
        <w:right w:val="none" w:sz="0" w:space="0" w:color="auto"/>
      </w:divBdr>
      <w:divsChild>
        <w:div w:id="2063018806">
          <w:marLeft w:val="0"/>
          <w:marRight w:val="0"/>
          <w:marTop w:val="0"/>
          <w:marBottom w:val="0"/>
          <w:divBdr>
            <w:top w:val="none" w:sz="0" w:space="0" w:color="auto"/>
            <w:left w:val="none" w:sz="0" w:space="0" w:color="auto"/>
            <w:bottom w:val="none" w:sz="0" w:space="0" w:color="auto"/>
            <w:right w:val="none" w:sz="0" w:space="0" w:color="auto"/>
          </w:divBdr>
        </w:div>
      </w:divsChild>
    </w:div>
    <w:div w:id="1217163623">
      <w:bodyDiv w:val="1"/>
      <w:marLeft w:val="0"/>
      <w:marRight w:val="0"/>
      <w:marTop w:val="0"/>
      <w:marBottom w:val="0"/>
      <w:divBdr>
        <w:top w:val="none" w:sz="0" w:space="0" w:color="auto"/>
        <w:left w:val="none" w:sz="0" w:space="0" w:color="auto"/>
        <w:bottom w:val="none" w:sz="0" w:space="0" w:color="auto"/>
        <w:right w:val="none" w:sz="0" w:space="0" w:color="auto"/>
      </w:divBdr>
    </w:div>
    <w:div w:id="1513690609">
      <w:bodyDiv w:val="1"/>
      <w:marLeft w:val="0"/>
      <w:marRight w:val="0"/>
      <w:marTop w:val="0"/>
      <w:marBottom w:val="0"/>
      <w:divBdr>
        <w:top w:val="none" w:sz="0" w:space="0" w:color="auto"/>
        <w:left w:val="none" w:sz="0" w:space="0" w:color="auto"/>
        <w:bottom w:val="none" w:sz="0" w:space="0" w:color="auto"/>
        <w:right w:val="none" w:sz="0" w:space="0" w:color="auto"/>
      </w:divBdr>
    </w:div>
    <w:div w:id="1693217578">
      <w:bodyDiv w:val="1"/>
      <w:marLeft w:val="0"/>
      <w:marRight w:val="0"/>
      <w:marTop w:val="0"/>
      <w:marBottom w:val="0"/>
      <w:divBdr>
        <w:top w:val="none" w:sz="0" w:space="0" w:color="auto"/>
        <w:left w:val="none" w:sz="0" w:space="0" w:color="auto"/>
        <w:bottom w:val="none" w:sz="0" w:space="0" w:color="auto"/>
        <w:right w:val="none" w:sz="0" w:space="0" w:color="auto"/>
      </w:divBdr>
    </w:div>
    <w:div w:id="18605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vestor.gov/additional-resources/general-resources/glossary/futures-contract" TargetMode="External"/><Relationship Id="rId21" Type="http://schemas.openxmlformats.org/officeDocument/2006/relationships/hyperlink" Target="https://tools.finra.org/fund_analyzer/" TargetMode="External"/><Relationship Id="rId34" Type="http://schemas.openxmlformats.org/officeDocument/2006/relationships/hyperlink" Target="https://www.finra.org/investors/alerts/treasurys-guarantee-program-money-market-mutual-funds-what-you-should-know" TargetMode="External"/><Relationship Id="rId42" Type="http://schemas.openxmlformats.org/officeDocument/2006/relationships/hyperlink" Target="https://www.finra.org/investors/alerts/stock-based-loan-programs-what-investors-need-know" TargetMode="External"/><Relationship Id="rId47" Type="http://schemas.openxmlformats.org/officeDocument/2006/relationships/hyperlink" Target="http://www.sec.gov/edgar.shtml" TargetMode="External"/><Relationship Id="rId50" Type="http://schemas.openxmlformats.org/officeDocument/2006/relationships/hyperlink" Target="https://www.finra.org/investors/file-complaint" TargetMode="External"/><Relationship Id="rId55" Type="http://schemas.openxmlformats.org/officeDocument/2006/relationships/hyperlink" Target="https://www.finra.org/investors/alerts/putting-too-much-stock-your-company-401k-problem"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inra.org/investors/alerts/understanding-mutual-fund-classes" TargetMode="External"/><Relationship Id="rId29" Type="http://schemas.openxmlformats.org/officeDocument/2006/relationships/hyperlink" Target="https://www.investor.gov/introduction-investing/investing-basics/investment-products/mutual-funds-and-exchange-traded-4" TargetMode="External"/><Relationship Id="rId11" Type="http://schemas.openxmlformats.org/officeDocument/2006/relationships/hyperlink" Target="https://www.investor.gov/introduction-investing/investing-basics/investment-products/mutual-funds-and-exchange-traded-1" TargetMode="External"/><Relationship Id="rId24" Type="http://schemas.openxmlformats.org/officeDocument/2006/relationships/hyperlink" Target="https://www.investor.gov/introduction-investing/investing-basics/investment-products/mutual-funds-and-exchange-traded-funds" TargetMode="External"/><Relationship Id="rId32" Type="http://schemas.openxmlformats.org/officeDocument/2006/relationships/hyperlink" Target="https://www.thebalance.com/what-is-the-fdic-and-how-does-it-work-2385798" TargetMode="External"/><Relationship Id="rId37" Type="http://schemas.openxmlformats.org/officeDocument/2006/relationships/hyperlink" Target="https://www.finra.org/investors/alerts/leveraged-and-inverse-etfs-specialized-products-extra-risks-buy-and-hold-investors" TargetMode="External"/><Relationship Id="rId40" Type="http://schemas.openxmlformats.org/officeDocument/2006/relationships/hyperlink" Target="https://www.sec.gov/reportspubs/investor-publications/investorpubsmarginhtm.html" TargetMode="External"/><Relationship Id="rId45" Type="http://schemas.openxmlformats.org/officeDocument/2006/relationships/hyperlink" Target="https://www.sec.gov/fast-answers/answers-regdhtm.html" TargetMode="External"/><Relationship Id="rId53" Type="http://schemas.openxmlformats.org/officeDocument/2006/relationships/hyperlink" Target="https://www.finra.org/investors/alerts/why-leave-money-table-make-most-your-employers-401k-match" TargetMode="External"/><Relationship Id="rId58" Type="http://schemas.openxmlformats.org/officeDocument/2006/relationships/hyperlink" Target="http://www.sipc.org/"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vfmarkets.com/disclosures-disclaimers/" TargetMode="External"/><Relationship Id="rId19" Type="http://schemas.openxmlformats.org/officeDocument/2006/relationships/hyperlink" Target="https://www.finra.org/investors/alerts/mutual-fund-breakpoints-break-worth-taking" TargetMode="External"/><Relationship Id="rId14" Type="http://schemas.openxmlformats.org/officeDocument/2006/relationships/hyperlink" Target="https://www.finra.org/investors/alerts/treasurys-guarantee-program-money-market-mutual-funds-what-you-should-know" TargetMode="External"/><Relationship Id="rId22" Type="http://schemas.openxmlformats.org/officeDocument/2006/relationships/hyperlink" Target="https://tools.finra.org/529_calculator/main" TargetMode="External"/><Relationship Id="rId27" Type="http://schemas.openxmlformats.org/officeDocument/2006/relationships/hyperlink" Target="https://www.investor.gov/additional-resources/news-alerts/alerts-bulletins/investor-bulletin-introduction-short-sales" TargetMode="External"/><Relationship Id="rId30" Type="http://schemas.openxmlformats.org/officeDocument/2006/relationships/hyperlink" Target="https://www.investor.gov/introduction-investing/investing-basics/investment-products/mutual-funds-and-exchange-traded-3" TargetMode="External"/><Relationship Id="rId35" Type="http://schemas.openxmlformats.org/officeDocument/2006/relationships/hyperlink" Target="https://www.finra.org/investors/alerts/exchange-traded-notes-avoid-unpleasant-surprises" TargetMode="External"/><Relationship Id="rId43" Type="http://schemas.openxmlformats.org/officeDocument/2006/relationships/hyperlink" Target="https://www.finra.org/investors/learn-to-invest/types-investments/options" TargetMode="External"/><Relationship Id="rId48" Type="http://schemas.openxmlformats.org/officeDocument/2006/relationships/hyperlink" Target="http://www.nasaa.org/about-us/contact-us/contact-your-regulator/" TargetMode="External"/><Relationship Id="rId56" Type="http://schemas.openxmlformats.org/officeDocument/2006/relationships/hyperlink" Target="https://www.finra.org/investors/alerts/look-you-leave-dont-be-misled-early-retirement-investment-pitches-promise-too-much"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saveandinvest.org/ProtectYourMoney/AskandCheck/" TargetMode="External"/><Relationship Id="rId3" Type="http://schemas.openxmlformats.org/officeDocument/2006/relationships/customXml" Target="../customXml/item3.xml"/><Relationship Id="rId12" Type="http://schemas.openxmlformats.org/officeDocument/2006/relationships/hyperlink" Target="https://www.finra.org/investors/alerts/closed-end-fund-distributions-where-money-coming" TargetMode="External"/><Relationship Id="rId17" Type="http://schemas.openxmlformats.org/officeDocument/2006/relationships/hyperlink" Target="https://www.finra.org/investors/alerts/net-asset-value-transfers-look-you-leap-another-mutual-fund" TargetMode="External"/><Relationship Id="rId25" Type="http://schemas.openxmlformats.org/officeDocument/2006/relationships/hyperlink" Target="https://www.investor.gov/additional-resources/general-resources/glossary/derivatives" TargetMode="External"/><Relationship Id="rId33" Type="http://schemas.openxmlformats.org/officeDocument/2006/relationships/hyperlink" Target="https://www.thebalance.com/how-to-get-steady-investment-growth-2388536" TargetMode="External"/><Relationship Id="rId38" Type="http://schemas.openxmlformats.org/officeDocument/2006/relationships/hyperlink" Target="https://www.finra.org/investors/alerts/mutual-fund-breakpoints-are-you-owed-refund" TargetMode="External"/><Relationship Id="rId46" Type="http://schemas.openxmlformats.org/officeDocument/2006/relationships/hyperlink" Target="http://www.sec.gov/about/forms/formd.pdf" TargetMode="External"/><Relationship Id="rId59" Type="http://schemas.openxmlformats.org/officeDocument/2006/relationships/hyperlink" Target="http://www.fdic.gov/" TargetMode="External"/><Relationship Id="rId20" Type="http://schemas.openxmlformats.org/officeDocument/2006/relationships/hyperlink" Target="https://www.finra.org/investors/alerts/mutual-fund-breakpoints-are-you-owed-refund" TargetMode="External"/><Relationship Id="rId41" Type="http://schemas.openxmlformats.org/officeDocument/2006/relationships/hyperlink" Target="https://www.finra.org/investors/alerts/investing-borrowed-funds-no-margin-error" TargetMode="External"/><Relationship Id="rId54" Type="http://schemas.openxmlformats.org/officeDocument/2006/relationships/hyperlink" Target="https://www.finra.org/investors/alerts/401k-debit-cards-think-you-swipe" TargetMode="External"/><Relationship Id="rId62" Type="http://schemas.openxmlformats.org/officeDocument/2006/relationships/hyperlink" Target="http://www.vfmarkets.com/wp-content/uploads/2014/11/Vision_Financial_Markets_Trade_Statistic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inra.org/investors/alerts/class-b-mutual-fund-shares-do-they-make-grade" TargetMode="External"/><Relationship Id="rId23" Type="http://schemas.openxmlformats.org/officeDocument/2006/relationships/hyperlink" Target="https://www.finra.org/investors/alerts" TargetMode="External"/><Relationship Id="rId28" Type="http://schemas.openxmlformats.org/officeDocument/2006/relationships/hyperlink" Target="https://www.investor.gov/introduction-investing/investing-basics/investment-products/mutual-funds-and-exchange-traded-0" TargetMode="External"/><Relationship Id="rId36" Type="http://schemas.openxmlformats.org/officeDocument/2006/relationships/hyperlink" Target="https://www.finra.org/investors/alerts/leveraged-and-inverse-etfs-specialized-products-extra-risks-buy-and-hold-investors" TargetMode="External"/><Relationship Id="rId49" Type="http://schemas.openxmlformats.org/officeDocument/2006/relationships/hyperlink" Target="https://www.sec.gov/rules/final/1985/34-22172.pdf" TargetMode="External"/><Relationship Id="rId57" Type="http://schemas.openxmlformats.org/officeDocument/2006/relationships/hyperlink" Target="https://www.finra.org/investors/alerts/think-twice-cashing-out-your-401k" TargetMode="External"/><Relationship Id="rId10" Type="http://schemas.openxmlformats.org/officeDocument/2006/relationships/endnotes" Target="endnotes.xml"/><Relationship Id="rId31" Type="http://schemas.openxmlformats.org/officeDocument/2006/relationships/hyperlink" Target="https://www.investor.gov/research-before-you-invest/research/asset-allocation" TargetMode="External"/><Relationship Id="rId44" Type="http://schemas.openxmlformats.org/officeDocument/2006/relationships/hyperlink" Target="https://www.finra.org/investors/alerts/leveraged-and-inverse-etfs-specialized-products-extra-risks-buy-and-hold-investors" TargetMode="External"/><Relationship Id="rId52" Type="http://schemas.openxmlformats.org/officeDocument/2006/relationships/hyperlink" Target="https://www.finra.org/investors/alerts/ira-rollover-10-tips-making-sound-decision" TargetMode="External"/><Relationship Id="rId60" Type="http://schemas.openxmlformats.org/officeDocument/2006/relationships/hyperlink" Target="mailto:dcainternet@fdic.gov"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inra.org/investors/alerts/alternative-funds-are-not-your-typical-mutual-funds" TargetMode="External"/><Relationship Id="rId18" Type="http://schemas.openxmlformats.org/officeDocument/2006/relationships/hyperlink" Target="https://www.finra.org/investors/alerts/principal-protected-funds-security-has-price" TargetMode="External"/><Relationship Id="rId39" Type="http://schemas.openxmlformats.org/officeDocument/2006/relationships/hyperlink" Target="https://www.finra.org/investors/alerts/mutual-fund-breakpoints-break-worth-t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FC6CDCDB7B834A9F20B3E5DEE32462" ma:contentTypeVersion="13" ma:contentTypeDescription="Create a new document." ma:contentTypeScope="" ma:versionID="00c00036be8a262c8cfa9a328661c141">
  <xsd:schema xmlns:xsd="http://www.w3.org/2001/XMLSchema" xmlns:xs="http://www.w3.org/2001/XMLSchema" xmlns:p="http://schemas.microsoft.com/office/2006/metadata/properties" xmlns:ns3="5a3bc019-e935-4585-9219-e23efbdc7692" xmlns:ns4="70230f02-7b66-45db-b608-f01d05e247d7" targetNamespace="http://schemas.microsoft.com/office/2006/metadata/properties" ma:root="true" ma:fieldsID="c490298e713d9366b6682bf5a02c1d30" ns3:_="" ns4:_="">
    <xsd:import namespace="5a3bc019-e935-4585-9219-e23efbdc7692"/>
    <xsd:import namespace="70230f02-7b66-45db-b608-f01d05e247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bc019-e935-4585-9219-e23efbdc7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30f02-7b66-45db-b608-f01d05e247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972DB-EC35-F842-B98F-075CF06F63FE}">
  <ds:schemaRefs>
    <ds:schemaRef ds:uri="http://schemas.openxmlformats.org/officeDocument/2006/bibliography"/>
  </ds:schemaRefs>
</ds:datastoreItem>
</file>

<file path=customXml/itemProps2.xml><?xml version="1.0" encoding="utf-8"?>
<ds:datastoreItem xmlns:ds="http://schemas.openxmlformats.org/officeDocument/2006/customXml" ds:itemID="{A37545D6-35CA-4899-AA2B-5EA411C777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B9EBB0-0838-426A-B14B-836244887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bc019-e935-4585-9219-e23efbdc7692"/>
    <ds:schemaRef ds:uri="70230f02-7b66-45db-b608-f01d05e24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0D26E-67DD-42D2-8F6D-F61984EC2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12000</Words>
  <Characters>68401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Seedner</dc:creator>
  <cp:keywords/>
  <dc:description/>
  <cp:lastModifiedBy/>
  <cp:revision>2</cp:revision>
  <cp:lastPrinted>2020-04-06T20:09:00Z</cp:lastPrinted>
  <dcterms:created xsi:type="dcterms:W3CDTF">2020-12-10T21:56:00Z</dcterms:created>
  <dcterms:modified xsi:type="dcterms:W3CDTF">2020-12-10T21:56:00Z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0x01010040FC6CDCDB7B834A9F20B3E5DEE32462</vt:lpwstr>
  </property>
</Properties>
</file>